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5C6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cstheme="minorBidi"/>
          <w:spacing w:val="-20"/>
          <w:kern w:val="2"/>
          <w:sz w:val="44"/>
          <w:szCs w:val="44"/>
          <w:lang w:val="en-US" w:eastAsia="zh-CN" w:bidi="ar-SA"/>
        </w:rPr>
        <w:t>《</w:t>
      </w:r>
      <w:r>
        <w:rPr>
          <w:rFonts w:hint="eastAsia" w:ascii="方正小标宋简体" w:eastAsia="方正小标宋简体" w:hAnsiTheme="minorHAnsi" w:cstheme="minorBidi"/>
          <w:spacing w:val="-20"/>
          <w:kern w:val="2"/>
          <w:sz w:val="44"/>
          <w:szCs w:val="44"/>
          <w:lang w:val="en-US" w:eastAsia="zh-CN" w:bidi="ar-SA"/>
        </w:rPr>
        <w:t>慢性消化系统疾病患者报告结局测评与</w:t>
      </w:r>
    </w:p>
    <w:p w14:paraId="35EEB66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精准健康管理关键技术体系构建及应用</w:t>
      </w:r>
      <w:r>
        <w:rPr>
          <w:rFonts w:hint="eastAsia" w:ascii="方正小标宋简体" w:eastAsia="方正小标宋简体" w:cstheme="minorBidi"/>
          <w:spacing w:val="-20"/>
          <w:kern w:val="2"/>
          <w:sz w:val="44"/>
          <w:szCs w:val="44"/>
          <w:lang w:val="en-US" w:eastAsia="zh-CN" w:bidi="ar-SA"/>
        </w:rPr>
        <w:t>》</w:t>
      </w:r>
    </w:p>
    <w:p w14:paraId="3F64F1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方正小标宋简体" w:eastAsia="方正小标宋简体" w:hAnsiTheme="minorHAnsi" w:cstheme="minorBidi"/>
          <w:spacing w:val="-20"/>
          <w:kern w:val="2"/>
          <w:sz w:val="44"/>
          <w:szCs w:val="44"/>
          <w:lang w:val="en-US" w:eastAsia="zh-CN" w:bidi="ar-SA"/>
        </w:rPr>
      </w:pPr>
      <w:r>
        <w:rPr>
          <w:rFonts w:hint="eastAsia" w:ascii="方正小标宋简体" w:eastAsia="方正小标宋简体" w:hAnsiTheme="minorHAnsi" w:cstheme="minorBidi"/>
          <w:spacing w:val="-20"/>
          <w:kern w:val="2"/>
          <w:sz w:val="44"/>
          <w:szCs w:val="44"/>
          <w:lang w:val="en-US" w:eastAsia="zh-CN" w:bidi="ar-SA"/>
        </w:rPr>
        <w:t>项目信息</w:t>
      </w:r>
    </w:p>
    <w:p w14:paraId="21D81091">
      <w:pPr>
        <w:widowControl/>
        <w:spacing w:after="0" w:line="56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项目名称：</w:t>
      </w:r>
      <w:r>
        <w:rPr>
          <w:rFonts w:hint="eastAsia" w:ascii="仿宋_GB2312" w:eastAsia="仿宋_GB2312" w:hAnsiTheme="minorHAnsi" w:cstheme="minorBidi"/>
          <w:kern w:val="2"/>
          <w:sz w:val="32"/>
          <w:szCs w:val="32"/>
          <w:lang w:val="en-US" w:eastAsia="zh-CN" w:bidi="ar-SA"/>
        </w:rPr>
        <w:t>慢性消化系统疾病患者报告结局测评与精准健康管理关键技术体系构建及应用</w:t>
      </w:r>
    </w:p>
    <w:p w14:paraId="451E274A">
      <w:pPr>
        <w:widowControl/>
        <w:spacing w:after="0" w:line="560" w:lineRule="exact"/>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提名者</w:t>
      </w:r>
      <w:r>
        <w:rPr>
          <w:rFonts w:hint="eastAsia" w:ascii="仿宋_GB2312" w:eastAsia="仿宋_GB2312" w:cstheme="minorBidi"/>
          <w:b/>
          <w:bCs/>
          <w:kern w:val="2"/>
          <w:sz w:val="32"/>
          <w:szCs w:val="32"/>
          <w:lang w:val="en-US" w:eastAsia="zh-CN" w:bidi="ar-SA"/>
        </w:rPr>
        <w:t>：</w:t>
      </w:r>
      <w:r>
        <w:rPr>
          <w:rFonts w:hint="eastAsia" w:ascii="仿宋_GB2312" w:eastAsia="仿宋_GB2312" w:hAnsiTheme="minorHAnsi" w:cstheme="minorBidi"/>
          <w:kern w:val="2"/>
          <w:sz w:val="32"/>
          <w:szCs w:val="32"/>
          <w:lang w:val="en-US" w:eastAsia="zh-CN" w:bidi="ar-SA"/>
        </w:rPr>
        <w:t>昆明医科大学</w:t>
      </w:r>
    </w:p>
    <w:p w14:paraId="1CFAC633">
      <w:pPr>
        <w:widowControl/>
        <w:spacing w:after="0" w:line="56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提名等级：</w:t>
      </w:r>
      <w:r>
        <w:rPr>
          <w:rFonts w:hint="eastAsia" w:ascii="仿宋_GB2312" w:eastAsia="仿宋_GB2312" w:hAnsiTheme="minorHAnsi" w:cstheme="minorBidi"/>
          <w:kern w:val="2"/>
          <w:sz w:val="32"/>
          <w:szCs w:val="32"/>
          <w:lang w:val="en-US" w:eastAsia="zh-CN" w:bidi="ar-SA"/>
        </w:rPr>
        <w:t>云南省科技进步奖三等奖</w:t>
      </w:r>
    </w:p>
    <w:p w14:paraId="00AF9FE9">
      <w:pPr>
        <w:widowControl/>
        <w:spacing w:after="0" w:line="560" w:lineRule="exact"/>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项目简介：</w:t>
      </w:r>
    </w:p>
    <w:p w14:paraId="3BB0CA67">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本项目针对慢性消化系统疾病患者自评工具缺乏统一标准、不同病种测评结果不可比，以及患者报告结局量表测量精度、得分可比性和结果解释能力不足的技术问题，形成了“模块化测评体系构建—精准测量与结果解释—数字化健康管理应用”三位一体的关键技术方案。</w:t>
      </w:r>
    </w:p>
    <w:p w14:paraId="00DD0CE0">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在测评工具构建技术方面，项目采用“共性模块+疾病特异模块”的模块化量表构建框架，建立慢性病患者报告结局量表体系（PROISCD）。共性模块用于统一评价患者生理、心理、社会及精神健康状态，疾病特异模块用于捕捉不同病种的核心症状谱和特殊生活影响，在统一框架下完成慢性胃炎、消化性溃疡、肠易激综合征、炎症性肠病、慢性非酒精性脂肪性肝病及胃食管反流病等6种疾病量表的研制与测评，实现多病种统一测量标准。该体系已形成1个共性模块和6个疾病特异模块，共性模块包括4个领域、11个侧面、30个条目，各病种总量表为41-44个条目。</w:t>
      </w:r>
    </w:p>
    <w:p w14:paraId="1DE21D75">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在测量与结果解释方法学技术方面，项目融合经典测量理论、项目反应理论、概化理论等现代测量理论，建立了条目池构建、专家咨询、预调查、条目筛选、正式调查及测量学评价的统一流程；引入计算机自适应测试理念和最小临床重要性差异相关方法，提升量表测量精度与结果临床解释能力。</w:t>
      </w:r>
    </w:p>
    <w:p w14:paraId="3531845F">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在数字化精准健康管理技术方面，项目研发了慢性消化系统疾病医疗健康微信小程序，采用“客户端—服务端—管理端”三层分布式架构，将量表测评、数据采集、智能分析、风险评估和健康管理有机整合，实现患者连续追踪和医患协同闭环管理。</w:t>
      </w:r>
    </w:p>
    <w:p w14:paraId="29950340">
      <w:pPr>
        <w:widowControl/>
        <w:spacing w:after="0"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本项目的创新点与科学发现主要体现在：一是建立了覆盖6种常见慢性消化系统疾病的统一PRO测评体系，提升了患者结局评价的标准化、可比性和规范化水平；二是通过融合经典测量理论、项目反应理论、概化理论、计算机自适应测试与最小临床重要性差异等方法，提高了量表的信度、效度、测量精度和结果临床解释能力；三是通过微信小程序实现测评与管理的数字化转型，提升了操作便捷性和医患协同管理效率；四是形成了“患者自评—系统分析—风险识别—医生干预—持续随访”的闭环管理模式，推动慢性病管理由“被动随访”向“主动、连续、自我管理”转变。项目已取得1项软件著作权和9项作品登记证，并在多家医疗机构推广应用或试运行。</w:t>
      </w:r>
    </w:p>
    <w:p w14:paraId="1EF5A0E5">
      <w:pPr>
        <w:widowControl/>
        <w:spacing w:after="0" w:line="560" w:lineRule="exact"/>
        <w:rPr>
          <w:rFonts w:hint="eastAsia" w:ascii="仿宋_GB2312" w:eastAsia="仿宋_GB2312" w:hAnsiTheme="minorHAnsi" w:cstheme="minorBidi"/>
          <w:b/>
          <w:bCs/>
          <w:kern w:val="2"/>
          <w:sz w:val="32"/>
          <w:szCs w:val="32"/>
          <w:lang w:val="en-US" w:eastAsia="zh-CN" w:bidi="ar-SA"/>
        </w:rPr>
      </w:pPr>
    </w:p>
    <w:p w14:paraId="4812993B">
      <w:pPr>
        <w:widowControl/>
        <w:spacing w:after="0" w:line="560" w:lineRule="exact"/>
        <w:rPr>
          <w:rFonts w:hint="eastAsia" w:ascii="仿宋_GB2312" w:eastAsia="仿宋_GB2312" w:hAnsiTheme="minorHAnsi" w:cstheme="minorBidi"/>
          <w:b/>
          <w:bCs/>
          <w:kern w:val="2"/>
          <w:sz w:val="32"/>
          <w:szCs w:val="32"/>
          <w:lang w:val="en-US" w:eastAsia="zh-CN" w:bidi="ar-SA"/>
        </w:rPr>
      </w:pPr>
    </w:p>
    <w:p w14:paraId="578C1389">
      <w:pPr>
        <w:widowControl/>
        <w:spacing w:after="0" w:line="560" w:lineRule="exac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主要知识产权和标准规范等目录：</w:t>
      </w:r>
    </w:p>
    <w:tbl>
      <w:tblPr>
        <w:tblStyle w:val="6"/>
        <w:tblpPr w:leftFromText="180" w:rightFromText="180" w:vertAnchor="text" w:horzAnchor="page" w:tblpX="1054" w:tblpY="780"/>
        <w:tblOverlap w:val="never"/>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3918"/>
        <w:gridCol w:w="2296"/>
        <w:gridCol w:w="2963"/>
      </w:tblGrid>
      <w:tr w14:paraId="5DB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93" w:type="dxa"/>
            <w:vAlign w:val="center"/>
          </w:tcPr>
          <w:p w14:paraId="5B925549">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序号</w:t>
            </w:r>
          </w:p>
        </w:tc>
        <w:tc>
          <w:tcPr>
            <w:tcW w:w="3918" w:type="dxa"/>
            <w:vAlign w:val="center"/>
          </w:tcPr>
          <w:p w14:paraId="17DECBA8">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专利名称</w:t>
            </w:r>
          </w:p>
        </w:tc>
        <w:tc>
          <w:tcPr>
            <w:tcW w:w="2296" w:type="dxa"/>
            <w:vAlign w:val="center"/>
          </w:tcPr>
          <w:p w14:paraId="5937A25A">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专利号</w:t>
            </w:r>
          </w:p>
        </w:tc>
        <w:tc>
          <w:tcPr>
            <w:tcW w:w="2963" w:type="dxa"/>
            <w:vAlign w:val="center"/>
          </w:tcPr>
          <w:p w14:paraId="465C4AFC">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发明人</w:t>
            </w:r>
          </w:p>
        </w:tc>
      </w:tr>
      <w:tr w14:paraId="0D0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65AD0D9">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w:t>
            </w:r>
          </w:p>
        </w:tc>
        <w:tc>
          <w:tcPr>
            <w:tcW w:w="3918" w:type="dxa"/>
            <w:vAlign w:val="center"/>
          </w:tcPr>
          <w:p w14:paraId="350ACDD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慢性病患者报告结局测定量体系第一版PROISCD（V1.0）I-共性（核心）模块（PROISCD-GM）</w:t>
            </w:r>
          </w:p>
        </w:tc>
        <w:tc>
          <w:tcPr>
            <w:tcW w:w="2296" w:type="dxa"/>
            <w:vAlign w:val="center"/>
          </w:tcPr>
          <w:p w14:paraId="7A8806CC">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w:t>
            </w:r>
            <w:r>
              <w:rPr>
                <w:rFonts w:hint="eastAsia" w:ascii="仿宋_GB2312" w:eastAsia="仿宋_GB2312" w:hAnsiTheme="minorHAnsi" w:cstheme="minorBidi"/>
                <w:kern w:val="2"/>
                <w:sz w:val="28"/>
                <w:szCs w:val="28"/>
                <w:lang w:val="en-US" w:eastAsia="zh-CN" w:bidi="ar-SA"/>
              </w:rPr>
              <w:t>19</w:t>
            </w:r>
            <w:r>
              <w:rPr>
                <w:rFonts w:hint="default" w:ascii="仿宋_GB2312" w:eastAsia="仿宋_GB2312" w:hAnsiTheme="minorHAnsi" w:cstheme="minorBidi"/>
                <w:kern w:val="2"/>
                <w:sz w:val="28"/>
                <w:szCs w:val="28"/>
                <w:lang w:val="en-US" w:eastAsia="zh-CN" w:bidi="ar-SA"/>
              </w:rPr>
              <w:t>-A-00</w:t>
            </w:r>
            <w:r>
              <w:rPr>
                <w:rFonts w:hint="eastAsia" w:ascii="仿宋_GB2312" w:eastAsia="仿宋_GB2312" w:hAnsiTheme="minorHAnsi" w:cstheme="minorBidi"/>
                <w:kern w:val="2"/>
                <w:sz w:val="28"/>
                <w:szCs w:val="28"/>
                <w:lang w:val="en-US" w:eastAsia="zh-CN" w:bidi="ar-SA"/>
              </w:rPr>
              <w:t>697300</w:t>
            </w:r>
          </w:p>
        </w:tc>
        <w:tc>
          <w:tcPr>
            <w:tcW w:w="2963" w:type="dxa"/>
            <w:vAlign w:val="center"/>
          </w:tcPr>
          <w:p w14:paraId="4F79C1CF">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万崇华,</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杨铮</w:t>
            </w:r>
            <w:r>
              <w:rPr>
                <w:rFonts w:hint="eastAsia" w:ascii="仿宋_GB2312" w:eastAsia="仿宋_GB2312" w:hAnsiTheme="minorHAnsi" w:cstheme="minorBidi"/>
                <w:kern w:val="2"/>
                <w:sz w:val="28"/>
                <w:szCs w:val="28"/>
                <w:lang w:val="en-US" w:eastAsia="zh-CN" w:bidi="ar-SA"/>
              </w:rPr>
              <w:t>,谭健烽,吴斌、刘付贞、黄志文</w:t>
            </w:r>
          </w:p>
        </w:tc>
      </w:tr>
      <w:tr w14:paraId="6A8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489AC15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w:t>
            </w:r>
          </w:p>
        </w:tc>
        <w:tc>
          <w:tcPr>
            <w:tcW w:w="3918" w:type="dxa"/>
            <w:vAlign w:val="center"/>
          </w:tcPr>
          <w:p w14:paraId="73F92B1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慢性病患者生命质量测定量表体系第二版QLICD(V2.0)VI-消化系统（上消化道）疾病量表（慢性胃炎QLICD-CG</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消化性溃疡QLICD-PU）</w:t>
            </w:r>
          </w:p>
        </w:tc>
        <w:tc>
          <w:tcPr>
            <w:tcW w:w="2296" w:type="dxa"/>
            <w:vAlign w:val="center"/>
          </w:tcPr>
          <w:p w14:paraId="38F7A398">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w:t>
            </w:r>
            <w:r>
              <w:rPr>
                <w:rFonts w:hint="eastAsia" w:ascii="仿宋_GB2312" w:eastAsia="仿宋_GB2312" w:hAnsiTheme="minorHAnsi" w:cstheme="minorBidi"/>
                <w:kern w:val="2"/>
                <w:sz w:val="28"/>
                <w:szCs w:val="28"/>
                <w:lang w:val="en-US" w:eastAsia="zh-CN" w:bidi="ar-SA"/>
              </w:rPr>
              <w:t>1</w:t>
            </w:r>
            <w:r>
              <w:rPr>
                <w:rFonts w:hint="default" w:ascii="仿宋_GB2312" w:eastAsia="仿宋_GB2312" w:hAnsiTheme="minorHAnsi" w:cstheme="minorBidi"/>
                <w:kern w:val="2"/>
                <w:sz w:val="28"/>
                <w:szCs w:val="28"/>
                <w:lang w:val="en-US" w:eastAsia="zh-CN" w:bidi="ar-SA"/>
              </w:rPr>
              <w:t>5-A-00</w:t>
            </w:r>
            <w:r>
              <w:rPr>
                <w:rFonts w:hint="eastAsia" w:ascii="仿宋_GB2312" w:eastAsia="仿宋_GB2312" w:hAnsiTheme="minorHAnsi" w:cstheme="minorBidi"/>
                <w:kern w:val="2"/>
                <w:sz w:val="28"/>
                <w:szCs w:val="28"/>
                <w:lang w:val="en-US" w:eastAsia="zh-CN" w:bidi="ar-SA"/>
              </w:rPr>
              <w:t>234071</w:t>
            </w:r>
          </w:p>
        </w:tc>
        <w:tc>
          <w:tcPr>
            <w:tcW w:w="2963" w:type="dxa"/>
            <w:vAlign w:val="center"/>
          </w:tcPr>
          <w:p w14:paraId="0F4BD091">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万崇华、李晓梅、</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,谭健烽,黄新萍,雷平光,于磊</w:t>
            </w:r>
          </w:p>
        </w:tc>
      </w:tr>
      <w:tr w14:paraId="1F3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93" w:type="dxa"/>
            <w:vAlign w:val="center"/>
          </w:tcPr>
          <w:p w14:paraId="4193E696">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w:t>
            </w:r>
          </w:p>
        </w:tc>
        <w:tc>
          <w:tcPr>
            <w:tcW w:w="3918" w:type="dxa"/>
            <w:vAlign w:val="center"/>
          </w:tcPr>
          <w:p w14:paraId="6201D79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慢性病患者报告结局测定量表体系修订版（V1.0 R）-慢性胃炎患者报告结局测定量表PROISCD-CG</w:t>
            </w:r>
          </w:p>
        </w:tc>
        <w:tc>
          <w:tcPr>
            <w:tcW w:w="2296" w:type="dxa"/>
            <w:vAlign w:val="center"/>
          </w:tcPr>
          <w:p w14:paraId="7BB99B0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国作登字-2023-A-00286360</w:t>
            </w:r>
          </w:p>
        </w:tc>
        <w:tc>
          <w:tcPr>
            <w:tcW w:w="2963" w:type="dxa"/>
            <w:vAlign w:val="center"/>
          </w:tcPr>
          <w:p w14:paraId="6977426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陈莹,刘钰曦,杨婧,杨黎宏,陈媛玲,万崇华,缪秋菊,罗娜,宋婷,李楠</w:t>
            </w:r>
          </w:p>
        </w:tc>
      </w:tr>
      <w:tr w14:paraId="7C3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51845DD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w:t>
            </w:r>
          </w:p>
        </w:tc>
        <w:tc>
          <w:tcPr>
            <w:tcW w:w="3918" w:type="dxa"/>
            <w:vAlign w:val="center"/>
          </w:tcPr>
          <w:p w14:paraId="5E117CD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慢性病患者报告结局测定量表体系修订版（V1.0R）-消化性溃疡患者报告结局测定量表 PROISCD-PU</w:t>
            </w:r>
          </w:p>
        </w:tc>
        <w:tc>
          <w:tcPr>
            <w:tcW w:w="2296" w:type="dxa"/>
            <w:vAlign w:val="center"/>
          </w:tcPr>
          <w:p w14:paraId="5FF0101C">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国作登字-2023-A-00286361</w:t>
            </w:r>
          </w:p>
        </w:tc>
        <w:tc>
          <w:tcPr>
            <w:tcW w:w="2963" w:type="dxa"/>
            <w:vAlign w:val="center"/>
          </w:tcPr>
          <w:p w14:paraId="17A6FC9C">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陈莹,刘钰曦,和海玉,和丽梅,万崇华,宋莹,罗娜,缪秋菊,李瑞雨,高茵</w:t>
            </w:r>
          </w:p>
        </w:tc>
      </w:tr>
      <w:tr w14:paraId="63B2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2F2870A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w:t>
            </w:r>
          </w:p>
        </w:tc>
        <w:tc>
          <w:tcPr>
            <w:tcW w:w="3918" w:type="dxa"/>
            <w:vAlign w:val="center"/>
          </w:tcPr>
          <w:p w14:paraId="3D7727D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慢性病患者生命质量测定量表体系第二版QLICD(V2.0)VⅠ一消化系统(上消化道)疾病量表(胃食管反流病QLICD-GERD）</w:t>
            </w:r>
          </w:p>
        </w:tc>
        <w:tc>
          <w:tcPr>
            <w:tcW w:w="2296" w:type="dxa"/>
            <w:vAlign w:val="center"/>
          </w:tcPr>
          <w:p w14:paraId="1F4117A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国作登字-2025-A-00358347</w:t>
            </w:r>
          </w:p>
        </w:tc>
        <w:tc>
          <w:tcPr>
            <w:tcW w:w="2963" w:type="dxa"/>
            <w:vAlign w:val="center"/>
          </w:tcPr>
          <w:p w14:paraId="1F35881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雷平光</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黄惠民</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欧金清</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余洁梅</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郑春蝶</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莫宏丹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刘应达</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夏夕然</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穆再雪</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付天乐</w:t>
            </w:r>
          </w:p>
        </w:tc>
      </w:tr>
      <w:tr w14:paraId="57C0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50A7FC34">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w:t>
            </w:r>
          </w:p>
        </w:tc>
        <w:tc>
          <w:tcPr>
            <w:tcW w:w="3918" w:type="dxa"/>
            <w:vAlign w:val="center"/>
          </w:tcPr>
          <w:p w14:paraId="5783245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炎症性肠病患者报告结局测定量表（PROISCD-IBD）</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国作登字-2025-A-00005976</w:t>
            </w:r>
          </w:p>
        </w:tc>
        <w:tc>
          <w:tcPr>
            <w:tcW w:w="2296" w:type="dxa"/>
            <w:vAlign w:val="center"/>
          </w:tcPr>
          <w:p w14:paraId="5D16FCF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国作登字-2025-A-00005976</w:t>
            </w:r>
          </w:p>
        </w:tc>
        <w:tc>
          <w:tcPr>
            <w:tcW w:w="2963" w:type="dxa"/>
            <w:vAlign w:val="center"/>
          </w:tcPr>
          <w:p w14:paraId="55F29EBD">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杨铮</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罗娟</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全鹏</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孙小媛</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李茂涓</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和丽梅</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阮艳琴</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付天乐</w:t>
            </w:r>
          </w:p>
        </w:tc>
      </w:tr>
      <w:tr w14:paraId="0ACD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23F847C">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7</w:t>
            </w:r>
          </w:p>
        </w:tc>
        <w:tc>
          <w:tcPr>
            <w:tcW w:w="3918" w:type="dxa"/>
            <w:vAlign w:val="center"/>
          </w:tcPr>
          <w:p w14:paraId="29CA469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慢性病患者报告结局测定量表体系（V1.0R）-肠易激综合征患者报告结局定量表(PROISCD-IBS)</w:t>
            </w:r>
          </w:p>
        </w:tc>
        <w:tc>
          <w:tcPr>
            <w:tcW w:w="2296" w:type="dxa"/>
            <w:vAlign w:val="center"/>
          </w:tcPr>
          <w:p w14:paraId="5001E105">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国作登字-2025-A-00005978</w:t>
            </w:r>
          </w:p>
        </w:tc>
        <w:tc>
          <w:tcPr>
            <w:tcW w:w="2963" w:type="dxa"/>
            <w:vAlign w:val="center"/>
          </w:tcPr>
          <w:p w14:paraId="73226D6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刘钰曦</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万崇华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穆再雪</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缪秋菊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p>
        </w:tc>
      </w:tr>
      <w:tr w14:paraId="485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8BA5DB0">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8</w:t>
            </w:r>
          </w:p>
        </w:tc>
        <w:tc>
          <w:tcPr>
            <w:tcW w:w="3918" w:type="dxa"/>
            <w:vAlign w:val="center"/>
          </w:tcPr>
          <w:p w14:paraId="20A92A44">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慢性病患者报告结局测定量表体系(V1.0R)-非酒精性脂肪性肝病患者报告结局测定量表( PROISCD-NAFLD)</w:t>
            </w:r>
          </w:p>
        </w:tc>
        <w:tc>
          <w:tcPr>
            <w:tcW w:w="2296" w:type="dxa"/>
            <w:vAlign w:val="center"/>
          </w:tcPr>
          <w:p w14:paraId="14C739F7">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国作登字-2025-A-00005977</w:t>
            </w:r>
          </w:p>
        </w:tc>
        <w:tc>
          <w:tcPr>
            <w:tcW w:w="2963" w:type="dxa"/>
            <w:vAlign w:val="center"/>
          </w:tcPr>
          <w:p w14:paraId="3A07623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杨婧</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罗娟</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陈媛玲</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高艳香</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夏夕然</w:t>
            </w:r>
          </w:p>
        </w:tc>
      </w:tr>
      <w:tr w14:paraId="603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5A81A007">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9</w:t>
            </w:r>
          </w:p>
        </w:tc>
        <w:tc>
          <w:tcPr>
            <w:tcW w:w="3918" w:type="dxa"/>
            <w:vAlign w:val="center"/>
          </w:tcPr>
          <w:p w14:paraId="39E515A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慢性病患者报告结局测定量表体系(V1.0R)-胃食管反流病患者报告结局测定量表(PROISCD-GERD)</w:t>
            </w:r>
          </w:p>
        </w:tc>
        <w:tc>
          <w:tcPr>
            <w:tcW w:w="2296" w:type="dxa"/>
            <w:vAlign w:val="center"/>
          </w:tcPr>
          <w:p w14:paraId="247D14E5">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国作登字-2025-A-00005975</w:t>
            </w:r>
          </w:p>
        </w:tc>
        <w:tc>
          <w:tcPr>
            <w:tcW w:w="2963" w:type="dxa"/>
            <w:vAlign w:val="center"/>
          </w:tcPr>
          <w:p w14:paraId="6D974B83">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罗娟</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杨婧</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高茵</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李楠</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夏夕然</w:t>
            </w:r>
          </w:p>
        </w:tc>
      </w:tr>
      <w:tr w14:paraId="711C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F4B91FA">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10</w:t>
            </w:r>
          </w:p>
        </w:tc>
        <w:tc>
          <w:tcPr>
            <w:tcW w:w="3918" w:type="dxa"/>
            <w:vAlign w:val="center"/>
          </w:tcPr>
          <w:p w14:paraId="112C26A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慢性胃炎与消化性溃疡患者报告结局测评系统1.0</w:t>
            </w:r>
          </w:p>
        </w:tc>
        <w:tc>
          <w:tcPr>
            <w:tcW w:w="2296" w:type="dxa"/>
            <w:vAlign w:val="center"/>
          </w:tcPr>
          <w:p w14:paraId="65D3677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2025SR1965422</w:t>
            </w:r>
          </w:p>
        </w:tc>
        <w:tc>
          <w:tcPr>
            <w:tcW w:w="2963" w:type="dxa"/>
            <w:vAlign w:val="center"/>
          </w:tcPr>
          <w:p w14:paraId="7A357D7F">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昆明医科大学</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杨太明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董子</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缪秋菊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p>
        </w:tc>
      </w:tr>
      <w:tr w14:paraId="2E08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6A3233FD">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序号</w:t>
            </w:r>
          </w:p>
        </w:tc>
        <w:tc>
          <w:tcPr>
            <w:tcW w:w="3918" w:type="dxa"/>
            <w:vAlign w:val="center"/>
          </w:tcPr>
          <w:p w14:paraId="23016AF8">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论文标题</w:t>
            </w:r>
          </w:p>
        </w:tc>
        <w:tc>
          <w:tcPr>
            <w:tcW w:w="2296" w:type="dxa"/>
            <w:vAlign w:val="center"/>
          </w:tcPr>
          <w:p w14:paraId="087181D1">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作者名称</w:t>
            </w:r>
          </w:p>
        </w:tc>
        <w:tc>
          <w:tcPr>
            <w:tcW w:w="2963" w:type="dxa"/>
            <w:vAlign w:val="center"/>
          </w:tcPr>
          <w:p w14:paraId="058DDA9D">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中文名称</w:t>
            </w:r>
          </w:p>
        </w:tc>
      </w:tr>
      <w:tr w14:paraId="31B6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39F561E">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w:t>
            </w:r>
          </w:p>
        </w:tc>
        <w:tc>
          <w:tcPr>
            <w:tcW w:w="3918" w:type="dxa"/>
            <w:vAlign w:val="center"/>
          </w:tcPr>
          <w:p w14:paraId="62B78A8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Establishing minimal clinically Important differences for the Quality of Life Instrument of Chronic Gastritis QLICD-CG(V2.0) based on distribution</w:t>
            </w:r>
            <w:r>
              <w:rPr>
                <w:rFonts w:hint="eastAsia" w:ascii="仿宋_GB2312" w:eastAsia="仿宋_GB2312" w:hAnsiTheme="minorHAnsi" w:cstheme="minorBidi"/>
                <w:kern w:val="2"/>
                <w:sz w:val="28"/>
                <w:szCs w:val="28"/>
                <w:lang w:val="en-US" w:eastAsia="zh-CN" w:bidi="ar-SA"/>
              </w:rPr>
              <w:t xml:space="preserve"> </w:t>
            </w:r>
            <w:r>
              <w:rPr>
                <w:rFonts w:hint="default" w:ascii="仿宋_GB2312" w:eastAsia="仿宋_GB2312" w:hAnsiTheme="minorHAnsi" w:cstheme="minorBidi"/>
                <w:kern w:val="2"/>
                <w:sz w:val="28"/>
                <w:szCs w:val="28"/>
                <w:lang w:val="en-US" w:eastAsia="zh-CN" w:bidi="ar-SA"/>
              </w:rPr>
              <w:t>based methods</w:t>
            </w:r>
          </w:p>
        </w:tc>
        <w:tc>
          <w:tcPr>
            <w:tcW w:w="2296" w:type="dxa"/>
            <w:vAlign w:val="center"/>
          </w:tcPr>
          <w:p w14:paraId="364A176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Xiaoyu Wu,Ying Chen*, Chonghua Wan, Lei Yu, Pingguang Lei, Xiaoyuan Sun</w:t>
            </w:r>
          </w:p>
        </w:tc>
        <w:tc>
          <w:tcPr>
            <w:tcW w:w="2963" w:type="dxa"/>
            <w:vAlign w:val="center"/>
          </w:tcPr>
          <w:p w14:paraId="53710417">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基于分布法确定慢性胃炎生活质量评估工具 QLICD-CG(V2.0) 的最小临床重要差异值</w:t>
            </w:r>
          </w:p>
        </w:tc>
      </w:tr>
      <w:tr w14:paraId="3244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4B9348DA">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w:t>
            </w:r>
          </w:p>
        </w:tc>
        <w:tc>
          <w:tcPr>
            <w:tcW w:w="3918" w:type="dxa"/>
            <w:vAlign w:val="center"/>
          </w:tcPr>
          <w:p w14:paraId="6C5EB43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Development and validation of the peptic ulcer scale under the system of quality of life instruments for chronic diseases based on classical test theory and generalizability theory</w:t>
            </w:r>
          </w:p>
        </w:tc>
        <w:tc>
          <w:tcPr>
            <w:tcW w:w="2296" w:type="dxa"/>
            <w:vAlign w:val="center"/>
          </w:tcPr>
          <w:p w14:paraId="0834F788">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Wan Chonghua,Chen Ying*,Gao Li,Zhang Qingqing,Quan Peng,Sun Xiaoyuan</w:t>
            </w:r>
          </w:p>
        </w:tc>
        <w:tc>
          <w:tcPr>
            <w:tcW w:w="2963" w:type="dxa"/>
            <w:vAlign w:val="center"/>
          </w:tcPr>
          <w:p w14:paraId="7308C397">
            <w:pPr>
              <w:widowControl/>
              <w:spacing w:after="0" w:line="560" w:lineRule="exact"/>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基于经典测量理论和概化理论对慢性病生命质量量表体系之消化性溃疡量表研制与测评</w:t>
            </w:r>
          </w:p>
        </w:tc>
      </w:tr>
      <w:tr w14:paraId="5CF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7BBC967">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w:t>
            </w:r>
          </w:p>
        </w:tc>
        <w:tc>
          <w:tcPr>
            <w:tcW w:w="3918" w:type="dxa"/>
            <w:vAlign w:val="center"/>
          </w:tcPr>
          <w:p w14:paraId="4A2A3980">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Development and Validation of the Chronic Gastritis Scale Under the System of Quality of Life Instruments for Chronic Diseases QLICD-CG Based on Classical Test Theory and Generalizability Theory</w:t>
            </w:r>
          </w:p>
        </w:tc>
        <w:tc>
          <w:tcPr>
            <w:tcW w:w="2296" w:type="dxa"/>
            <w:vAlign w:val="center"/>
          </w:tcPr>
          <w:p w14:paraId="50ECCF7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Wan Chonghua,Chen Ying*,Gao Li,Zhang Qingqing,Li Wu,Quan Peng</w:t>
            </w:r>
          </w:p>
        </w:tc>
        <w:tc>
          <w:tcPr>
            <w:tcW w:w="2963" w:type="dxa"/>
            <w:vAlign w:val="center"/>
          </w:tcPr>
          <w:p w14:paraId="27E024FB">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基于经典测量理论和概化理论对慢性病生命质量量表体系之慢性胃炎量表研制与测评</w:t>
            </w:r>
          </w:p>
        </w:tc>
      </w:tr>
      <w:tr w14:paraId="76BF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1F91B75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w:t>
            </w:r>
          </w:p>
        </w:tc>
        <w:tc>
          <w:tcPr>
            <w:tcW w:w="3918" w:type="dxa"/>
            <w:vAlign w:val="center"/>
          </w:tcPr>
          <w:p w14:paraId="34347B0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A Longitudinal Study on Psychometric Properties of the Simplified Chinese Version of FACT-Hep for Patients with Hepatocellular Carcinoma by Classical Test Theory and Generalizability Theory</w:t>
            </w:r>
          </w:p>
        </w:tc>
        <w:tc>
          <w:tcPr>
            <w:tcW w:w="2296" w:type="dxa"/>
            <w:vAlign w:val="center"/>
          </w:tcPr>
          <w:p w14:paraId="7898DB1E">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Yongcun Wang,  Shulin Ding, Qiong Meng , Yingli Cun , Gaofeng Li, Ying Chen #, Chonghua Wan</w:t>
            </w:r>
          </w:p>
        </w:tc>
        <w:tc>
          <w:tcPr>
            <w:tcW w:w="2963" w:type="dxa"/>
            <w:vAlign w:val="center"/>
          </w:tcPr>
          <w:p w14:paraId="1B1B05F0">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基于经典测量理论和概化理论对肝细胞癌患者简化版 FACT-Hep 的心理测量特性纵向研究</w:t>
            </w:r>
          </w:p>
        </w:tc>
      </w:tr>
      <w:tr w14:paraId="07FD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2AEC7AF3">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w:t>
            </w:r>
          </w:p>
        </w:tc>
        <w:tc>
          <w:tcPr>
            <w:tcW w:w="3918" w:type="dxa"/>
            <w:vAlign w:val="center"/>
          </w:tcPr>
          <w:p w14:paraId="4D357FF0">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A multicenter cross-sectional study on quality of life and influencing factors in patients with 10 kinds of chronic diseases</w:t>
            </w:r>
          </w:p>
        </w:tc>
        <w:tc>
          <w:tcPr>
            <w:tcW w:w="2296" w:type="dxa"/>
            <w:vAlign w:val="center"/>
          </w:tcPr>
          <w:p w14:paraId="1879F4D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Chenyao Li, Ying Chen*, Wu Li, Haifeng Ding, Qiongling Liu, Chuanzhi Xu</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Chonghua Wan</w:t>
            </w:r>
          </w:p>
        </w:tc>
        <w:tc>
          <w:tcPr>
            <w:tcW w:w="2963" w:type="dxa"/>
            <w:vAlign w:val="center"/>
          </w:tcPr>
          <w:p w14:paraId="19B320CB">
            <w:pPr>
              <w:widowControl/>
              <w:spacing w:after="0" w:line="560" w:lineRule="exact"/>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一项关于 10 种慢性病患者生活质量及其影响因素的多中心横断面研究</w:t>
            </w:r>
          </w:p>
        </w:tc>
      </w:tr>
      <w:tr w14:paraId="74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3140E9F8">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w:t>
            </w:r>
          </w:p>
        </w:tc>
        <w:tc>
          <w:tcPr>
            <w:tcW w:w="3918" w:type="dxa"/>
            <w:shd w:val="clear" w:color="auto" w:fill="auto"/>
            <w:vAlign w:val="center"/>
          </w:tcPr>
          <w:p w14:paraId="225C9A7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炎症性肠病患者报告结局测定量表的测量学特性分析</w:t>
            </w:r>
          </w:p>
        </w:tc>
        <w:tc>
          <w:tcPr>
            <w:tcW w:w="2296" w:type="dxa"/>
            <w:shd w:val="clear" w:color="auto" w:fill="auto"/>
            <w:vAlign w:val="center"/>
          </w:tcPr>
          <w:p w14:paraId="4B88CEA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阮艳琴</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雷平光</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万崇华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万克艳</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p>
        </w:tc>
        <w:tc>
          <w:tcPr>
            <w:tcW w:w="2963" w:type="dxa"/>
            <w:shd w:val="clear" w:color="auto" w:fill="auto"/>
            <w:vAlign w:val="center"/>
          </w:tcPr>
          <w:p w14:paraId="5A6BC922">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炎症性肠病患者报告结局测定量表的测量学特性分析</w:t>
            </w:r>
          </w:p>
        </w:tc>
      </w:tr>
      <w:tr w14:paraId="20C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258D6D53">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7</w:t>
            </w:r>
          </w:p>
        </w:tc>
        <w:tc>
          <w:tcPr>
            <w:tcW w:w="3918" w:type="dxa"/>
            <w:vAlign w:val="center"/>
          </w:tcPr>
          <w:p w14:paraId="3DA7D9D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基于SEM模型的慢性胃炎患者报告结局量表测评</w:t>
            </w:r>
          </w:p>
        </w:tc>
        <w:tc>
          <w:tcPr>
            <w:tcW w:w="2296" w:type="dxa"/>
            <w:vAlign w:val="center"/>
          </w:tcPr>
          <w:p w14:paraId="6B5D4BB9">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缪秋菊, 陈媛玲</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时鑫</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宋婷</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p>
        </w:tc>
        <w:tc>
          <w:tcPr>
            <w:tcW w:w="2963" w:type="dxa"/>
            <w:shd w:val="clear" w:color="auto" w:fill="auto"/>
            <w:vAlign w:val="center"/>
          </w:tcPr>
          <w:p w14:paraId="752ED5A4">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基于SEM模型的慢性胃炎患者报告结局量表测评</w:t>
            </w:r>
          </w:p>
        </w:tc>
      </w:tr>
      <w:tr w14:paraId="204A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8D50EF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8</w:t>
            </w:r>
          </w:p>
        </w:tc>
        <w:tc>
          <w:tcPr>
            <w:tcW w:w="3918" w:type="dxa"/>
            <w:vAlign w:val="center"/>
          </w:tcPr>
          <w:p w14:paraId="70AD0953">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基于PROISCD-GM(V1．0)慢性胃炎患者最小临床重要性差值的制定</w:t>
            </w:r>
          </w:p>
        </w:tc>
        <w:tc>
          <w:tcPr>
            <w:tcW w:w="2296" w:type="dxa"/>
            <w:vAlign w:val="center"/>
          </w:tcPr>
          <w:p w14:paraId="2936ED46">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陈媛玲</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李瑞雨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宋静</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赵虎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缪秋菊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罗娜</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p>
        </w:tc>
        <w:tc>
          <w:tcPr>
            <w:tcW w:w="2963" w:type="dxa"/>
            <w:shd w:val="clear" w:color="auto" w:fill="auto"/>
            <w:vAlign w:val="center"/>
          </w:tcPr>
          <w:p w14:paraId="3B394CFA">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基于PROISCD-GM(V1．0)慢性胃炎患者最小临床重要性差值的制定</w:t>
            </w:r>
          </w:p>
        </w:tc>
      </w:tr>
      <w:tr w14:paraId="6A98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6BED18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9</w:t>
            </w:r>
          </w:p>
        </w:tc>
        <w:tc>
          <w:tcPr>
            <w:tcW w:w="3918" w:type="dxa"/>
            <w:vAlign w:val="center"/>
          </w:tcPr>
          <w:p w14:paraId="1179C573">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肠易激综合征患者生命质量影响因素分析</w:t>
            </w:r>
          </w:p>
        </w:tc>
        <w:tc>
          <w:tcPr>
            <w:tcW w:w="2296" w:type="dxa"/>
            <w:vAlign w:val="center"/>
          </w:tcPr>
          <w:p w14:paraId="07987B50">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罗兰</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（通信作者）,</w:t>
            </w:r>
            <w:r>
              <w:rPr>
                <w:rFonts w:hint="default" w:ascii="仿宋_GB2312" w:eastAsia="仿宋_GB2312" w:hAnsiTheme="minorHAnsi" w:cstheme="minorBidi"/>
                <w:kern w:val="2"/>
                <w:sz w:val="28"/>
                <w:szCs w:val="28"/>
                <w:lang w:val="en-US" w:eastAsia="zh-CN" w:bidi="ar-SA"/>
              </w:rPr>
              <w:t>潘洋</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王诗雨</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马薇芳</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王建云</w:t>
            </w:r>
          </w:p>
        </w:tc>
        <w:tc>
          <w:tcPr>
            <w:tcW w:w="2963" w:type="dxa"/>
            <w:shd w:val="clear" w:color="auto" w:fill="auto"/>
            <w:vAlign w:val="center"/>
          </w:tcPr>
          <w:p w14:paraId="7FBF57D1">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肠易激综合征患者生命质量影响因素分析</w:t>
            </w:r>
          </w:p>
        </w:tc>
      </w:tr>
      <w:tr w14:paraId="3F1D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840D791">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10</w:t>
            </w:r>
          </w:p>
        </w:tc>
        <w:tc>
          <w:tcPr>
            <w:tcW w:w="3918" w:type="dxa"/>
            <w:vAlign w:val="center"/>
          </w:tcPr>
          <w:p w14:paraId="3A9A8448">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消化性溃疡患者生活质量的影响因素</w:t>
            </w:r>
          </w:p>
        </w:tc>
        <w:tc>
          <w:tcPr>
            <w:tcW w:w="2296" w:type="dxa"/>
            <w:vAlign w:val="center"/>
          </w:tcPr>
          <w:p w14:paraId="54D1973F">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陈莹</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于磊</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万崇华</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高丽</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段丽萍</w:t>
            </w:r>
            <w:r>
              <w:rPr>
                <w:rFonts w:hint="eastAsia" w:ascii="仿宋_GB2312" w:eastAsia="仿宋_GB2312" w:hAnsiTheme="minorHAnsi" w:cstheme="minorBidi"/>
                <w:kern w:val="2"/>
                <w:sz w:val="28"/>
                <w:szCs w:val="28"/>
                <w:lang w:val="en-US" w:eastAsia="zh-CN" w:bidi="ar-SA"/>
              </w:rPr>
              <w:t>,</w:t>
            </w:r>
            <w:r>
              <w:rPr>
                <w:rFonts w:hint="default" w:ascii="仿宋_GB2312" w:eastAsia="仿宋_GB2312" w:hAnsiTheme="minorHAnsi" w:cstheme="minorBidi"/>
                <w:kern w:val="2"/>
                <w:sz w:val="28"/>
                <w:szCs w:val="28"/>
                <w:lang w:val="en-US" w:eastAsia="zh-CN" w:bidi="ar-SA"/>
              </w:rPr>
              <w:t>李红缨</w:t>
            </w:r>
          </w:p>
        </w:tc>
        <w:tc>
          <w:tcPr>
            <w:tcW w:w="2963" w:type="dxa"/>
            <w:shd w:val="clear" w:color="auto" w:fill="auto"/>
            <w:vAlign w:val="center"/>
          </w:tcPr>
          <w:p w14:paraId="07A4249B">
            <w:pPr>
              <w:widowControl/>
              <w:spacing w:after="0" w:line="560" w:lineRule="exact"/>
              <w:rPr>
                <w:rFonts w:hint="eastAsia" w:ascii="仿宋_GB2312" w:eastAsia="仿宋_GB2312" w:hAnsiTheme="minorHAnsi" w:cstheme="minorBidi"/>
                <w:kern w:val="2"/>
                <w:sz w:val="28"/>
                <w:szCs w:val="28"/>
                <w:lang w:val="en-US" w:eastAsia="zh-CN" w:bidi="ar-SA"/>
              </w:rPr>
            </w:pPr>
            <w:r>
              <w:rPr>
                <w:rFonts w:hint="default" w:ascii="仿宋_GB2312" w:eastAsia="仿宋_GB2312" w:hAnsiTheme="minorHAnsi" w:cstheme="minorBidi"/>
                <w:kern w:val="2"/>
                <w:sz w:val="28"/>
                <w:szCs w:val="28"/>
                <w:lang w:val="en-US" w:eastAsia="zh-CN" w:bidi="ar-SA"/>
              </w:rPr>
              <w:t>消化性溃疡患者生活质量的影响因素</w:t>
            </w:r>
          </w:p>
        </w:tc>
      </w:tr>
    </w:tbl>
    <w:p w14:paraId="58B09531">
      <w:pPr>
        <w:widowControl/>
        <w:spacing w:after="0" w:line="560" w:lineRule="exact"/>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主要完成单位：</w:t>
      </w:r>
      <w:r>
        <w:rPr>
          <w:rFonts w:hint="eastAsia" w:ascii="仿宋_GB2312" w:eastAsia="仿宋_GB2312" w:hAnsiTheme="minorHAnsi" w:cstheme="minorBidi"/>
          <w:kern w:val="2"/>
          <w:sz w:val="32"/>
          <w:szCs w:val="32"/>
          <w:lang w:val="en-US" w:eastAsia="zh-CN" w:bidi="ar-SA"/>
        </w:rPr>
        <w:t>昆明医科大学、广东医科大学顺德妇女儿童医院</w:t>
      </w:r>
      <w:r>
        <w:rPr>
          <w:rFonts w:hint="eastAsia" w:ascii="仿宋_GB2312" w:eastAsia="仿宋_GB2312" w:cstheme="minorBidi"/>
          <w:kern w:val="2"/>
          <w:sz w:val="32"/>
          <w:szCs w:val="32"/>
          <w:lang w:val="en-US" w:eastAsia="zh-CN" w:bidi="ar-SA"/>
        </w:rPr>
        <w:t>、</w:t>
      </w:r>
      <w:bookmarkStart w:id="2" w:name="_GoBack"/>
      <w:bookmarkEnd w:id="2"/>
      <w:r>
        <w:rPr>
          <w:rFonts w:hint="eastAsia" w:ascii="仿宋_GB2312" w:eastAsia="仿宋_GB2312" w:hAnsiTheme="minorHAnsi" w:cstheme="minorBidi"/>
          <w:kern w:val="2"/>
          <w:sz w:val="32"/>
          <w:szCs w:val="32"/>
          <w:lang w:val="en-US" w:eastAsia="zh-CN" w:bidi="ar-SA"/>
        </w:rPr>
        <w:t>广东医科大学</w:t>
      </w:r>
    </w:p>
    <w:p w14:paraId="09585305">
      <w:pPr>
        <w:widowControl/>
        <w:spacing w:after="0" w:line="560" w:lineRule="exact"/>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主要完成人基本情况：</w:t>
      </w:r>
    </w:p>
    <w:tbl>
      <w:tblPr>
        <w:tblStyle w:val="5"/>
        <w:tblW w:w="9763"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1491"/>
        <w:gridCol w:w="3557"/>
        <w:gridCol w:w="2058"/>
        <w:gridCol w:w="2657"/>
      </w:tblGrid>
      <w:tr w14:paraId="1A483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1C758E9B">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bookmarkStart w:id="0" w:name="_Hlk196484839"/>
            <w:r>
              <w:rPr>
                <w:rFonts w:hint="eastAsia" w:ascii="仿宋_GB2312" w:eastAsia="仿宋_GB2312" w:hAnsiTheme="minorHAnsi" w:cstheme="minorBidi"/>
                <w:b/>
                <w:bCs/>
                <w:kern w:val="2"/>
                <w:sz w:val="32"/>
                <w:szCs w:val="32"/>
                <w:lang w:val="en-US" w:eastAsia="zh-CN" w:bidi="ar-SA"/>
              </w:rPr>
              <w:t>姓名</w:t>
            </w:r>
          </w:p>
        </w:tc>
        <w:tc>
          <w:tcPr>
            <w:tcW w:w="3557" w:type="dxa"/>
            <w:tcBorders>
              <w:tl2br w:val="nil"/>
              <w:tr2bl w:val="nil"/>
            </w:tcBorders>
            <w:tcMar>
              <w:top w:w="85" w:type="dxa"/>
              <w:left w:w="108" w:type="dxa"/>
              <w:bottom w:w="85" w:type="dxa"/>
              <w:right w:w="108" w:type="dxa"/>
            </w:tcMar>
            <w:vAlign w:val="center"/>
          </w:tcPr>
          <w:p w14:paraId="64EC9517">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工作单位</w:t>
            </w:r>
          </w:p>
        </w:tc>
        <w:tc>
          <w:tcPr>
            <w:tcW w:w="2058" w:type="dxa"/>
            <w:tcBorders>
              <w:tl2br w:val="nil"/>
              <w:tr2bl w:val="nil"/>
            </w:tcBorders>
            <w:tcMar>
              <w:top w:w="85" w:type="dxa"/>
              <w:left w:w="108" w:type="dxa"/>
              <w:bottom w:w="85" w:type="dxa"/>
              <w:right w:w="108" w:type="dxa"/>
            </w:tcMar>
            <w:vAlign w:val="center"/>
          </w:tcPr>
          <w:p w14:paraId="632089D1">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学历/职称</w:t>
            </w:r>
          </w:p>
        </w:tc>
        <w:tc>
          <w:tcPr>
            <w:tcW w:w="2657" w:type="dxa"/>
            <w:tcBorders>
              <w:tl2br w:val="nil"/>
              <w:tr2bl w:val="nil"/>
            </w:tcBorders>
            <w:tcMar>
              <w:top w:w="85" w:type="dxa"/>
              <w:left w:w="108" w:type="dxa"/>
              <w:bottom w:w="85" w:type="dxa"/>
              <w:right w:w="108" w:type="dxa"/>
            </w:tcMar>
            <w:vAlign w:val="center"/>
          </w:tcPr>
          <w:p w14:paraId="7253F76E">
            <w:pPr>
              <w:widowControl/>
              <w:spacing w:after="0" w:line="560" w:lineRule="exact"/>
              <w:jc w:val="center"/>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职务</w:t>
            </w:r>
          </w:p>
        </w:tc>
      </w:tr>
      <w:tr w14:paraId="20535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5F341B1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陈 莹</w:t>
            </w:r>
          </w:p>
        </w:tc>
        <w:tc>
          <w:tcPr>
            <w:tcW w:w="3557" w:type="dxa"/>
            <w:tcBorders>
              <w:tl2br w:val="nil"/>
              <w:tr2bl w:val="nil"/>
            </w:tcBorders>
            <w:tcMar>
              <w:top w:w="85" w:type="dxa"/>
              <w:left w:w="108" w:type="dxa"/>
              <w:bottom w:w="85" w:type="dxa"/>
              <w:right w:w="108" w:type="dxa"/>
            </w:tcMar>
            <w:vAlign w:val="center"/>
          </w:tcPr>
          <w:p w14:paraId="6D00D158">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Borders>
              <w:tl2br w:val="nil"/>
              <w:tr2bl w:val="nil"/>
            </w:tcBorders>
            <w:tcMar>
              <w:top w:w="85" w:type="dxa"/>
              <w:left w:w="108" w:type="dxa"/>
              <w:bottom w:w="85" w:type="dxa"/>
              <w:right w:w="108" w:type="dxa"/>
            </w:tcMar>
            <w:vAlign w:val="center"/>
          </w:tcPr>
          <w:p w14:paraId="536C0472">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硕士/教授</w:t>
            </w:r>
          </w:p>
        </w:tc>
        <w:tc>
          <w:tcPr>
            <w:tcW w:w="2657" w:type="dxa"/>
            <w:tcBorders>
              <w:tl2br w:val="nil"/>
              <w:tr2bl w:val="nil"/>
            </w:tcBorders>
            <w:tcMar>
              <w:top w:w="85" w:type="dxa"/>
              <w:left w:w="108" w:type="dxa"/>
              <w:bottom w:w="85" w:type="dxa"/>
              <w:right w:w="108" w:type="dxa"/>
            </w:tcMar>
            <w:vAlign w:val="center"/>
          </w:tcPr>
          <w:p w14:paraId="71F35D68">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支部书记</w:t>
            </w:r>
          </w:p>
        </w:tc>
      </w:tr>
      <w:tr w14:paraId="69AEF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373F3470">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刘钰曦</w:t>
            </w:r>
          </w:p>
        </w:tc>
        <w:tc>
          <w:tcPr>
            <w:tcW w:w="3557" w:type="dxa"/>
            <w:tcBorders>
              <w:tl2br w:val="nil"/>
              <w:tr2bl w:val="nil"/>
            </w:tcBorders>
            <w:tcMar>
              <w:top w:w="85" w:type="dxa"/>
              <w:left w:w="108" w:type="dxa"/>
              <w:bottom w:w="85" w:type="dxa"/>
              <w:right w:w="108" w:type="dxa"/>
            </w:tcMar>
            <w:vAlign w:val="center"/>
          </w:tcPr>
          <w:p w14:paraId="0ECB840F">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r>
              <w:rPr>
                <w:rFonts w:hint="eastAsia" w:ascii="仿宋_GB2312" w:eastAsia="仿宋_GB2312" w:cstheme="minorBidi"/>
                <w:kern w:val="2"/>
                <w:sz w:val="28"/>
                <w:szCs w:val="28"/>
                <w:lang w:val="en-US" w:eastAsia="zh-CN" w:bidi="ar-SA"/>
              </w:rPr>
              <w:t>顺德妇女儿童医院</w:t>
            </w:r>
          </w:p>
        </w:tc>
        <w:tc>
          <w:tcPr>
            <w:tcW w:w="2058" w:type="dxa"/>
            <w:tcBorders>
              <w:tl2br w:val="nil"/>
              <w:tr2bl w:val="nil"/>
            </w:tcBorders>
            <w:tcMar>
              <w:top w:w="85" w:type="dxa"/>
              <w:left w:w="108" w:type="dxa"/>
              <w:bottom w:w="85" w:type="dxa"/>
              <w:right w:w="108" w:type="dxa"/>
            </w:tcMar>
            <w:vAlign w:val="center"/>
          </w:tcPr>
          <w:p w14:paraId="3095DEFC">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博士/教授</w:t>
            </w:r>
          </w:p>
        </w:tc>
        <w:tc>
          <w:tcPr>
            <w:tcW w:w="2657" w:type="dxa"/>
            <w:tcBorders>
              <w:tl2br w:val="nil"/>
              <w:tr2bl w:val="nil"/>
            </w:tcBorders>
            <w:tcMar>
              <w:top w:w="85" w:type="dxa"/>
              <w:left w:w="108" w:type="dxa"/>
              <w:bottom w:w="85" w:type="dxa"/>
              <w:right w:w="108" w:type="dxa"/>
            </w:tcMar>
            <w:vAlign w:val="center"/>
          </w:tcPr>
          <w:p w14:paraId="0098317B">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所长</w:t>
            </w:r>
          </w:p>
        </w:tc>
      </w:tr>
      <w:tr w14:paraId="44AA6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7941B0BC">
            <w:pPr>
              <w:widowControl/>
              <w:spacing w:after="0" w:line="560" w:lineRule="exact"/>
              <w:jc w:val="center"/>
              <w:rPr>
                <w:rFonts w:hint="eastAsia" w:ascii="仿宋_GB2312" w:eastAsia="仿宋_GB2312" w:hAnsiTheme="minorHAnsi" w:cstheme="minorBidi"/>
                <w:kern w:val="2"/>
                <w:sz w:val="28"/>
                <w:szCs w:val="28"/>
                <w:lang w:val="en-US" w:eastAsia="zh-CN" w:bidi="ar-SA"/>
              </w:rPr>
            </w:pPr>
            <w:bookmarkStart w:id="1" w:name="_Hlk196234403"/>
            <w:r>
              <w:rPr>
                <w:rFonts w:hint="eastAsia" w:ascii="仿宋_GB2312" w:eastAsia="仿宋_GB2312" w:hAnsiTheme="minorHAnsi" w:cstheme="minorBidi"/>
                <w:kern w:val="2"/>
                <w:sz w:val="28"/>
                <w:szCs w:val="28"/>
                <w:lang w:val="en-US" w:eastAsia="zh-CN" w:bidi="ar-SA"/>
              </w:rPr>
              <w:t>万崇华</w:t>
            </w:r>
          </w:p>
        </w:tc>
        <w:tc>
          <w:tcPr>
            <w:tcW w:w="3557" w:type="dxa"/>
            <w:tcMar>
              <w:top w:w="85" w:type="dxa"/>
              <w:left w:w="108" w:type="dxa"/>
              <w:bottom w:w="85" w:type="dxa"/>
              <w:right w:w="108" w:type="dxa"/>
            </w:tcMar>
            <w:vAlign w:val="center"/>
          </w:tcPr>
          <w:p w14:paraId="68260F89">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p>
        </w:tc>
        <w:tc>
          <w:tcPr>
            <w:tcW w:w="2058" w:type="dxa"/>
            <w:tcMar>
              <w:top w:w="85" w:type="dxa"/>
              <w:left w:w="108" w:type="dxa"/>
              <w:bottom w:w="85" w:type="dxa"/>
              <w:right w:w="108" w:type="dxa"/>
            </w:tcMar>
            <w:vAlign w:val="center"/>
          </w:tcPr>
          <w:p w14:paraId="172EE2B3">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博士/教授</w:t>
            </w:r>
          </w:p>
        </w:tc>
        <w:tc>
          <w:tcPr>
            <w:tcW w:w="2657" w:type="dxa"/>
            <w:tcMar>
              <w:top w:w="85" w:type="dxa"/>
              <w:left w:w="108" w:type="dxa"/>
              <w:bottom w:w="85" w:type="dxa"/>
              <w:right w:w="108" w:type="dxa"/>
            </w:tcMar>
            <w:vAlign w:val="center"/>
          </w:tcPr>
          <w:p w14:paraId="7CBB9E07">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生命质量与应用心理研究中心主任</w:t>
            </w:r>
          </w:p>
        </w:tc>
      </w:tr>
      <w:bookmarkEnd w:id="1"/>
      <w:tr w14:paraId="24879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58D028D7">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宋莹</w:t>
            </w:r>
          </w:p>
        </w:tc>
        <w:tc>
          <w:tcPr>
            <w:tcW w:w="3557" w:type="dxa"/>
            <w:tcBorders>
              <w:tl2br w:val="nil"/>
              <w:tr2bl w:val="nil"/>
            </w:tcBorders>
            <w:tcMar>
              <w:top w:w="85" w:type="dxa"/>
              <w:left w:w="108" w:type="dxa"/>
              <w:bottom w:w="85" w:type="dxa"/>
              <w:right w:w="108" w:type="dxa"/>
            </w:tcMar>
            <w:vAlign w:val="center"/>
          </w:tcPr>
          <w:p w14:paraId="44BBAF4D">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Borders>
              <w:tl2br w:val="nil"/>
              <w:tr2bl w:val="nil"/>
            </w:tcBorders>
            <w:tcMar>
              <w:top w:w="85" w:type="dxa"/>
              <w:left w:w="108" w:type="dxa"/>
              <w:bottom w:w="85" w:type="dxa"/>
              <w:right w:w="108" w:type="dxa"/>
            </w:tcMar>
            <w:vAlign w:val="center"/>
          </w:tcPr>
          <w:p w14:paraId="6F40E5BA">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硕士/讲师</w:t>
            </w:r>
          </w:p>
        </w:tc>
        <w:tc>
          <w:tcPr>
            <w:tcW w:w="2657" w:type="dxa"/>
            <w:tcBorders>
              <w:tl2br w:val="nil"/>
              <w:tr2bl w:val="nil"/>
            </w:tcBorders>
            <w:tcMar>
              <w:top w:w="85" w:type="dxa"/>
              <w:left w:w="108" w:type="dxa"/>
              <w:bottom w:w="85" w:type="dxa"/>
              <w:right w:w="108" w:type="dxa"/>
            </w:tcMar>
            <w:vAlign w:val="center"/>
          </w:tcPr>
          <w:p w14:paraId="27B9F8B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办公室主任</w:t>
            </w:r>
          </w:p>
        </w:tc>
      </w:tr>
      <w:tr w14:paraId="76FCEC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Borders>
              <w:tl2br w:val="nil"/>
              <w:tr2bl w:val="nil"/>
            </w:tcBorders>
            <w:tcMar>
              <w:top w:w="85" w:type="dxa"/>
              <w:left w:w="108" w:type="dxa"/>
              <w:bottom w:w="85" w:type="dxa"/>
              <w:right w:w="108" w:type="dxa"/>
            </w:tcMar>
            <w:vAlign w:val="center"/>
          </w:tcPr>
          <w:p w14:paraId="00C2DF2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许传志</w:t>
            </w:r>
          </w:p>
        </w:tc>
        <w:tc>
          <w:tcPr>
            <w:tcW w:w="3557" w:type="dxa"/>
            <w:tcBorders>
              <w:tl2br w:val="nil"/>
              <w:tr2bl w:val="nil"/>
            </w:tcBorders>
            <w:tcMar>
              <w:top w:w="85" w:type="dxa"/>
              <w:left w:w="108" w:type="dxa"/>
              <w:bottom w:w="85" w:type="dxa"/>
              <w:right w:w="108" w:type="dxa"/>
            </w:tcMar>
            <w:vAlign w:val="center"/>
          </w:tcPr>
          <w:p w14:paraId="4EF8822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昆明医科大学海源学院</w:t>
            </w:r>
          </w:p>
        </w:tc>
        <w:tc>
          <w:tcPr>
            <w:tcW w:w="2058" w:type="dxa"/>
            <w:tcBorders>
              <w:tl2br w:val="nil"/>
              <w:tr2bl w:val="nil"/>
            </w:tcBorders>
            <w:tcMar>
              <w:top w:w="85" w:type="dxa"/>
              <w:left w:w="108" w:type="dxa"/>
              <w:bottom w:w="85" w:type="dxa"/>
              <w:right w:w="108" w:type="dxa"/>
            </w:tcMar>
            <w:vAlign w:val="center"/>
          </w:tcPr>
          <w:p w14:paraId="2EA63D4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硕士/教授</w:t>
            </w:r>
          </w:p>
        </w:tc>
        <w:tc>
          <w:tcPr>
            <w:tcW w:w="2657" w:type="dxa"/>
            <w:tcBorders>
              <w:tl2br w:val="nil"/>
              <w:tr2bl w:val="nil"/>
            </w:tcBorders>
            <w:tcMar>
              <w:top w:w="85" w:type="dxa"/>
              <w:left w:w="108" w:type="dxa"/>
              <w:bottom w:w="85" w:type="dxa"/>
              <w:right w:w="108" w:type="dxa"/>
            </w:tcMar>
            <w:vAlign w:val="center"/>
          </w:tcPr>
          <w:p w14:paraId="3A8AB98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院长</w:t>
            </w:r>
          </w:p>
        </w:tc>
      </w:tr>
      <w:tr w14:paraId="6BD08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5FF79CE9">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谭健烽</w:t>
            </w:r>
          </w:p>
        </w:tc>
        <w:tc>
          <w:tcPr>
            <w:tcW w:w="3557" w:type="dxa"/>
            <w:tcMar>
              <w:top w:w="85" w:type="dxa"/>
              <w:left w:w="108" w:type="dxa"/>
              <w:bottom w:w="85" w:type="dxa"/>
              <w:right w:w="108" w:type="dxa"/>
            </w:tcMar>
            <w:vAlign w:val="center"/>
          </w:tcPr>
          <w:p w14:paraId="394B84D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p>
        </w:tc>
        <w:tc>
          <w:tcPr>
            <w:tcW w:w="2058" w:type="dxa"/>
            <w:tcMar>
              <w:top w:w="85" w:type="dxa"/>
              <w:left w:w="108" w:type="dxa"/>
              <w:bottom w:w="85" w:type="dxa"/>
              <w:right w:w="108" w:type="dxa"/>
            </w:tcMar>
            <w:vAlign w:val="center"/>
          </w:tcPr>
          <w:p w14:paraId="2134F38B">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博士/副教授</w:t>
            </w:r>
          </w:p>
        </w:tc>
        <w:tc>
          <w:tcPr>
            <w:tcW w:w="2657" w:type="dxa"/>
            <w:tcMar>
              <w:top w:w="85" w:type="dxa"/>
              <w:left w:w="108" w:type="dxa"/>
              <w:bottom w:w="85" w:type="dxa"/>
              <w:right w:w="108" w:type="dxa"/>
            </w:tcMar>
            <w:vAlign w:val="center"/>
          </w:tcPr>
          <w:p w14:paraId="076FEC7F">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副院长</w:t>
            </w:r>
          </w:p>
        </w:tc>
      </w:tr>
      <w:tr w14:paraId="22819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3991DC4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孙小媛</w:t>
            </w:r>
          </w:p>
        </w:tc>
        <w:tc>
          <w:tcPr>
            <w:tcW w:w="3557" w:type="dxa"/>
            <w:tcMar>
              <w:top w:w="85" w:type="dxa"/>
              <w:left w:w="108" w:type="dxa"/>
              <w:bottom w:w="85" w:type="dxa"/>
              <w:right w:w="108" w:type="dxa"/>
            </w:tcMar>
            <w:vAlign w:val="center"/>
          </w:tcPr>
          <w:p w14:paraId="2BBD3E6E">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广东医科大学</w:t>
            </w:r>
          </w:p>
        </w:tc>
        <w:tc>
          <w:tcPr>
            <w:tcW w:w="2058" w:type="dxa"/>
            <w:tcMar>
              <w:top w:w="85" w:type="dxa"/>
              <w:left w:w="108" w:type="dxa"/>
              <w:bottom w:w="85" w:type="dxa"/>
              <w:right w:w="108" w:type="dxa"/>
            </w:tcMar>
            <w:vAlign w:val="center"/>
          </w:tcPr>
          <w:p w14:paraId="1610CE3E">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博士/讲师</w:t>
            </w:r>
          </w:p>
        </w:tc>
        <w:tc>
          <w:tcPr>
            <w:tcW w:w="2657" w:type="dxa"/>
            <w:tcMar>
              <w:top w:w="85" w:type="dxa"/>
              <w:left w:w="108" w:type="dxa"/>
              <w:bottom w:w="85" w:type="dxa"/>
              <w:right w:w="108" w:type="dxa"/>
            </w:tcMar>
            <w:vAlign w:val="center"/>
          </w:tcPr>
          <w:p w14:paraId="1DC4D08E">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无</w:t>
            </w:r>
          </w:p>
        </w:tc>
      </w:tr>
      <w:tr w14:paraId="6D6B7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75A9D37F">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黄巧云</w:t>
            </w:r>
          </w:p>
        </w:tc>
        <w:tc>
          <w:tcPr>
            <w:tcW w:w="3557" w:type="dxa"/>
            <w:tcMar>
              <w:top w:w="85" w:type="dxa"/>
              <w:left w:w="108" w:type="dxa"/>
              <w:bottom w:w="85" w:type="dxa"/>
              <w:right w:w="108" w:type="dxa"/>
            </w:tcMar>
            <w:vAlign w:val="center"/>
          </w:tcPr>
          <w:p w14:paraId="0DE8E328">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Mar>
              <w:top w:w="85" w:type="dxa"/>
              <w:left w:w="108" w:type="dxa"/>
              <w:bottom w:w="85" w:type="dxa"/>
              <w:right w:w="108" w:type="dxa"/>
            </w:tcMar>
            <w:vAlign w:val="center"/>
          </w:tcPr>
          <w:p w14:paraId="7CD3AD3B">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硕士/高级实验师</w:t>
            </w:r>
          </w:p>
        </w:tc>
        <w:tc>
          <w:tcPr>
            <w:tcW w:w="2657" w:type="dxa"/>
            <w:tcMar>
              <w:top w:w="85" w:type="dxa"/>
              <w:left w:w="108" w:type="dxa"/>
              <w:bottom w:w="85" w:type="dxa"/>
              <w:right w:w="108" w:type="dxa"/>
            </w:tcMar>
            <w:vAlign w:val="center"/>
          </w:tcPr>
          <w:p w14:paraId="47D366F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云南省全科医学培训中心办公室主任</w:t>
            </w:r>
          </w:p>
        </w:tc>
      </w:tr>
      <w:tr w14:paraId="05517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blCellSpacing w:w="0" w:type="dxa"/>
          <w:jc w:val="center"/>
        </w:trPr>
        <w:tc>
          <w:tcPr>
            <w:tcW w:w="1491" w:type="dxa"/>
            <w:tcMar>
              <w:top w:w="85" w:type="dxa"/>
              <w:left w:w="108" w:type="dxa"/>
              <w:bottom w:w="85" w:type="dxa"/>
              <w:right w:w="108" w:type="dxa"/>
            </w:tcMar>
            <w:vAlign w:val="center"/>
          </w:tcPr>
          <w:p w14:paraId="0E916DCD">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和丽梅</w:t>
            </w:r>
          </w:p>
        </w:tc>
        <w:tc>
          <w:tcPr>
            <w:tcW w:w="3557" w:type="dxa"/>
            <w:tcMar>
              <w:top w:w="85" w:type="dxa"/>
              <w:left w:w="108" w:type="dxa"/>
              <w:bottom w:w="85" w:type="dxa"/>
              <w:right w:w="108" w:type="dxa"/>
            </w:tcMar>
            <w:vAlign w:val="center"/>
          </w:tcPr>
          <w:p w14:paraId="6256C3FC">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昆明医科大学</w:t>
            </w:r>
          </w:p>
        </w:tc>
        <w:tc>
          <w:tcPr>
            <w:tcW w:w="2058" w:type="dxa"/>
            <w:tcMar>
              <w:top w:w="85" w:type="dxa"/>
              <w:left w:w="108" w:type="dxa"/>
              <w:bottom w:w="85" w:type="dxa"/>
              <w:right w:w="108" w:type="dxa"/>
            </w:tcMar>
            <w:vAlign w:val="center"/>
          </w:tcPr>
          <w:p w14:paraId="44BD8B02">
            <w:pPr>
              <w:widowControl/>
              <w:spacing w:after="0" w:line="56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硕士/教授</w:t>
            </w:r>
          </w:p>
        </w:tc>
        <w:tc>
          <w:tcPr>
            <w:tcW w:w="2657" w:type="dxa"/>
            <w:tcMar>
              <w:top w:w="85" w:type="dxa"/>
              <w:left w:w="108" w:type="dxa"/>
              <w:bottom w:w="85" w:type="dxa"/>
              <w:right w:w="108" w:type="dxa"/>
            </w:tcMar>
            <w:vAlign w:val="center"/>
          </w:tcPr>
          <w:p w14:paraId="673ED609">
            <w:pPr>
              <w:widowControl/>
              <w:spacing w:after="0" w:line="560" w:lineRule="exact"/>
              <w:jc w:val="center"/>
              <w:rPr>
                <w:rFonts w:hint="default"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无</w:t>
            </w:r>
          </w:p>
        </w:tc>
      </w:tr>
      <w:bookmarkEnd w:id="0"/>
    </w:tbl>
    <w:p w14:paraId="6AA6A264">
      <w:pPr>
        <w:widowControl/>
        <w:spacing w:after="0" w:line="560" w:lineRule="exact"/>
        <w:rPr>
          <w:rFonts w:hint="eastAsia" w:ascii="仿宋_GB2312" w:eastAsia="仿宋_GB2312" w:hAnsiTheme="minorHAnsi" w:cstheme="minorBidi"/>
          <w:kern w:val="2"/>
          <w:sz w:val="32"/>
          <w:szCs w:val="32"/>
          <w:lang w:val="en-US" w:eastAsia="zh-CN" w:bidi="ar-SA"/>
        </w:rPr>
      </w:pPr>
    </w:p>
    <w:sectPr>
      <w:pgSz w:w="11906" w:h="16838"/>
      <w:pgMar w:top="1270" w:right="1800" w:bottom="132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E3FF7"/>
    <w:rsid w:val="0003055E"/>
    <w:rsid w:val="000804BD"/>
    <w:rsid w:val="000A2EC6"/>
    <w:rsid w:val="00115629"/>
    <w:rsid w:val="001A1AB9"/>
    <w:rsid w:val="001E05B6"/>
    <w:rsid w:val="002A620E"/>
    <w:rsid w:val="00361878"/>
    <w:rsid w:val="003E4900"/>
    <w:rsid w:val="004075D0"/>
    <w:rsid w:val="0046615B"/>
    <w:rsid w:val="004809FE"/>
    <w:rsid w:val="004A6F73"/>
    <w:rsid w:val="005F00C7"/>
    <w:rsid w:val="005F3C16"/>
    <w:rsid w:val="005F4C6D"/>
    <w:rsid w:val="00622FA5"/>
    <w:rsid w:val="006F2659"/>
    <w:rsid w:val="00770C6D"/>
    <w:rsid w:val="00797AED"/>
    <w:rsid w:val="007C1DE8"/>
    <w:rsid w:val="007F5F18"/>
    <w:rsid w:val="00826F6C"/>
    <w:rsid w:val="008E48EC"/>
    <w:rsid w:val="009946DC"/>
    <w:rsid w:val="00A3770E"/>
    <w:rsid w:val="00B133A7"/>
    <w:rsid w:val="00B26607"/>
    <w:rsid w:val="00B83B78"/>
    <w:rsid w:val="00C00EAB"/>
    <w:rsid w:val="00C32EB7"/>
    <w:rsid w:val="00C65D2E"/>
    <w:rsid w:val="00CB6CF1"/>
    <w:rsid w:val="00D143E7"/>
    <w:rsid w:val="00D45D5F"/>
    <w:rsid w:val="00E0208E"/>
    <w:rsid w:val="00E94967"/>
    <w:rsid w:val="00ED343B"/>
    <w:rsid w:val="00F467FC"/>
    <w:rsid w:val="08206641"/>
    <w:rsid w:val="0E811E04"/>
    <w:rsid w:val="127001C5"/>
    <w:rsid w:val="17EA27C8"/>
    <w:rsid w:val="188D5986"/>
    <w:rsid w:val="1BCA4DEA"/>
    <w:rsid w:val="20390790"/>
    <w:rsid w:val="215F7D83"/>
    <w:rsid w:val="255045B2"/>
    <w:rsid w:val="274717CD"/>
    <w:rsid w:val="29325D7D"/>
    <w:rsid w:val="2C4E1120"/>
    <w:rsid w:val="2E0917A2"/>
    <w:rsid w:val="2FC516F9"/>
    <w:rsid w:val="30BD6874"/>
    <w:rsid w:val="331C5AD4"/>
    <w:rsid w:val="34E539B8"/>
    <w:rsid w:val="3A3C4CAD"/>
    <w:rsid w:val="3C2D0D52"/>
    <w:rsid w:val="3D8A3F82"/>
    <w:rsid w:val="3EF69FA9"/>
    <w:rsid w:val="3F2B709E"/>
    <w:rsid w:val="413C5593"/>
    <w:rsid w:val="41DD0B24"/>
    <w:rsid w:val="458F0DFD"/>
    <w:rsid w:val="485007AA"/>
    <w:rsid w:val="497D1F39"/>
    <w:rsid w:val="49BE6929"/>
    <w:rsid w:val="4E1F4272"/>
    <w:rsid w:val="4F2E6E63"/>
    <w:rsid w:val="4FF23ABB"/>
    <w:rsid w:val="507F724A"/>
    <w:rsid w:val="529E43FC"/>
    <w:rsid w:val="532540D9"/>
    <w:rsid w:val="56FE711B"/>
    <w:rsid w:val="57B317F1"/>
    <w:rsid w:val="59401C6C"/>
    <w:rsid w:val="5D3E00A3"/>
    <w:rsid w:val="5FEF1E14"/>
    <w:rsid w:val="60695F4D"/>
    <w:rsid w:val="66191B15"/>
    <w:rsid w:val="666E66E2"/>
    <w:rsid w:val="67206943"/>
    <w:rsid w:val="673D5A3D"/>
    <w:rsid w:val="6C257411"/>
    <w:rsid w:val="6D9E6B0A"/>
    <w:rsid w:val="6E8201DA"/>
    <w:rsid w:val="6EA939B8"/>
    <w:rsid w:val="6F5D6004"/>
    <w:rsid w:val="6F6D2C38"/>
    <w:rsid w:val="6F7E3FF7"/>
    <w:rsid w:val="702526C1"/>
    <w:rsid w:val="75CD778F"/>
    <w:rsid w:val="78FD327E"/>
    <w:rsid w:val="7B1315C8"/>
    <w:rsid w:val="7BB67714"/>
    <w:rsid w:val="7C0E61C2"/>
    <w:rsid w:val="7C9C147C"/>
    <w:rsid w:val="7D0A5F6A"/>
    <w:rsid w:val="7D7E3EC8"/>
    <w:rsid w:val="7E4234E1"/>
    <w:rsid w:val="AAEFD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2688</Words>
  <Characters>3966</Characters>
  <Lines>128</Lines>
  <Paragraphs>38</Paragraphs>
  <TotalTime>2</TotalTime>
  <ScaleCrop>false</ScaleCrop>
  <LinksUpToDate>false</LinksUpToDate>
  <CharactersWithSpaces>4142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2026-04-16T00:15:00Z</dcterms:created>
  <dc:creator>龙三</dc:creator>
  <cp:lastModifiedBy>银豆豆</cp:lastModifiedBy>
  <dcterms:modified xsi:type="dcterms:W3CDTF">2026-04-21T02:40:37Z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DF3AE8FCFD7949ABB15DC5EDCA0033A7_13</vt:lpwstr>
  </property>
  <property fmtid="{D5CDD505-2E9C-101B-9397-08002B2CF9AE}" pid="4" name="KSOTemplateDocerSaveRecord">
    <vt:lpwstr>eyJoZGlkIjoiYTI0Zjg4ZjA5MTM0MDRmN2U5YjBlYmIxOTFjYTE4OTgiLCJ1c2VySWQiOiI3MzQwOTcwNjAifQ==</vt:lpwstr>
  </property>
</Properties>
</file>