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9614" w14:textId="77777777" w:rsidR="004D1F5E" w:rsidRDefault="00000000">
      <w:pPr>
        <w:spacing w:line="560" w:lineRule="exact"/>
        <w:jc w:val="center"/>
        <w:rPr>
          <w:rFonts w:ascii="方正小标宋简体" w:eastAsia="方正小标宋简体" w:hAnsi="方正小标宋简体" w:cs="方正小标宋简体" w:hint="eastAsia"/>
          <w:kern w:val="0"/>
          <w:sz w:val="30"/>
          <w:szCs w:val="30"/>
        </w:rPr>
      </w:pPr>
      <w:r>
        <w:rPr>
          <w:rFonts w:ascii="方正小标宋简体" w:eastAsia="方正小标宋简体" w:hAnsi="方正小标宋简体" w:cs="方正小标宋简体" w:hint="eastAsia"/>
          <w:kern w:val="0"/>
          <w:sz w:val="30"/>
          <w:szCs w:val="30"/>
        </w:rPr>
        <w:t>《</w:t>
      </w:r>
      <w:r>
        <w:rPr>
          <w:rFonts w:ascii="仿宋" w:eastAsia="仿宋" w:hAnsi="仿宋" w:cs="Andalus" w:hint="eastAsia"/>
          <w:b/>
          <w:sz w:val="32"/>
          <w:szCs w:val="32"/>
        </w:rPr>
        <w:t>莱姆病发病机制和防控策略研究</w:t>
      </w:r>
      <w:r>
        <w:rPr>
          <w:rFonts w:ascii="方正小标宋简体" w:eastAsia="方正小标宋简体" w:hAnsi="方正小标宋简体" w:cs="方正小标宋简体" w:hint="eastAsia"/>
          <w:kern w:val="0"/>
          <w:sz w:val="30"/>
          <w:szCs w:val="30"/>
        </w:rPr>
        <w:t>》</w:t>
      </w:r>
    </w:p>
    <w:p w14:paraId="20D1DE52" w14:textId="77777777" w:rsidR="004D1F5E" w:rsidRDefault="00000000">
      <w:pPr>
        <w:spacing w:line="560" w:lineRule="exact"/>
        <w:jc w:val="center"/>
        <w:rPr>
          <w:rFonts w:ascii="Times New Roman" w:eastAsia="楷体_GB2312" w:hAnsi="Times New Roman"/>
          <w:sz w:val="24"/>
        </w:rPr>
      </w:pPr>
      <w:r>
        <w:rPr>
          <w:rFonts w:ascii="方正小标宋简体" w:eastAsia="方正小标宋简体" w:hAnsi="方正小标宋简体" w:cs="方正小标宋简体" w:hint="eastAsia"/>
          <w:kern w:val="0"/>
          <w:sz w:val="36"/>
          <w:szCs w:val="36"/>
        </w:rPr>
        <w:t>项目信息</w:t>
      </w:r>
    </w:p>
    <w:p w14:paraId="41605200" w14:textId="77777777" w:rsidR="004D1F5E" w:rsidRDefault="00000000">
      <w:pPr>
        <w:spacing w:line="560" w:lineRule="exact"/>
        <w:rPr>
          <w:rFonts w:ascii="仿宋" w:eastAsia="仿宋_GB2312" w:hAnsi="仿宋" w:cs="Andalus" w:hint="eastAsia"/>
          <w:b/>
          <w:szCs w:val="21"/>
        </w:rPr>
      </w:pPr>
      <w:r>
        <w:rPr>
          <w:rFonts w:ascii="Times New Roman" w:eastAsia="仿宋_GB2312" w:hAnsi="Times New Roman" w:hint="eastAsia"/>
          <w:b/>
          <w:bCs/>
          <w:kern w:val="0"/>
          <w:sz w:val="32"/>
          <w:szCs w:val="32"/>
        </w:rPr>
        <w:t>项目名称：</w:t>
      </w:r>
      <w:r>
        <w:rPr>
          <w:rFonts w:ascii="仿宋" w:eastAsia="仿宋" w:hAnsi="仿宋" w:cs="Andalus" w:hint="eastAsia"/>
          <w:b/>
          <w:sz w:val="32"/>
          <w:szCs w:val="32"/>
        </w:rPr>
        <w:t>莱姆病发病机制和防控策略研究</w:t>
      </w:r>
    </w:p>
    <w:p w14:paraId="13AEFDD0" w14:textId="77777777" w:rsidR="004D1F5E" w:rsidRDefault="00000000">
      <w:pPr>
        <w:spacing w:line="560" w:lineRule="exact"/>
        <w:rPr>
          <w:rStyle w:val="fontstyle01"/>
          <w:rFonts w:ascii="Times New Roman" w:hAnsi="Times New Roman" w:hint="default"/>
        </w:rPr>
      </w:pPr>
      <w:r>
        <w:rPr>
          <w:rStyle w:val="fontstyle01"/>
          <w:rFonts w:ascii="Times New Roman" w:hAnsi="Times New Roman" w:hint="default"/>
          <w:b/>
        </w:rPr>
        <w:t>提名者</w:t>
      </w:r>
      <w:r>
        <w:rPr>
          <w:rStyle w:val="fontstyle01"/>
          <w:rFonts w:ascii="Times New Roman" w:hAnsi="Times New Roman" w:hint="default"/>
        </w:rPr>
        <w:t>：昆明医科大学</w:t>
      </w:r>
    </w:p>
    <w:p w14:paraId="7A4F2D3A" w14:textId="77777777" w:rsidR="004D1F5E" w:rsidRDefault="00000000">
      <w:pPr>
        <w:spacing w:line="560" w:lineRule="exact"/>
        <w:rPr>
          <w:rStyle w:val="fontstyle01"/>
          <w:rFonts w:ascii="Times New Roman" w:hAnsi="Times New Roman" w:hint="default"/>
        </w:rPr>
      </w:pPr>
      <w:r>
        <w:rPr>
          <w:rStyle w:val="fontstyle01"/>
          <w:rFonts w:ascii="Times New Roman" w:hAnsi="Times New Roman" w:hint="default"/>
          <w:b/>
        </w:rPr>
        <w:t>提名等级</w:t>
      </w:r>
      <w:r>
        <w:rPr>
          <w:rStyle w:val="fontstyle01"/>
          <w:rFonts w:ascii="Times New Roman" w:hAnsi="Times New Roman" w:hint="default"/>
        </w:rPr>
        <w:t>：云南省自然科学奖</w:t>
      </w:r>
      <w:r>
        <w:rPr>
          <w:rStyle w:val="fontstyle01"/>
          <w:rFonts w:ascii="Times New Roman" w:hAnsi="Times New Roman"/>
          <w:color w:val="auto"/>
        </w:rPr>
        <w:t>一</w:t>
      </w:r>
      <w:r>
        <w:rPr>
          <w:rStyle w:val="fontstyle01"/>
          <w:rFonts w:ascii="Times New Roman" w:hAnsi="Times New Roman" w:hint="default"/>
        </w:rPr>
        <w:t>等奖</w:t>
      </w:r>
    </w:p>
    <w:p w14:paraId="63AC9C1F" w14:textId="77777777" w:rsidR="004D1F5E" w:rsidRDefault="00000000">
      <w:pPr>
        <w:snapToGrid w:val="0"/>
        <w:spacing w:line="360" w:lineRule="exact"/>
        <w:ind w:rightChars="1" w:right="2"/>
        <w:rPr>
          <w:rStyle w:val="fontstyle01"/>
          <w:rFonts w:ascii="Times New Roman" w:hAnsi="Times New Roman" w:hint="default"/>
          <w:b/>
        </w:rPr>
      </w:pPr>
      <w:r>
        <w:rPr>
          <w:rStyle w:val="fontstyle01"/>
          <w:rFonts w:ascii="Times New Roman" w:hAnsi="Times New Roman" w:hint="default"/>
          <w:b/>
        </w:rPr>
        <w:t>项目简介：</w:t>
      </w:r>
    </w:p>
    <w:p w14:paraId="7F8CEDD1" w14:textId="77777777" w:rsidR="004D1F5E" w:rsidRDefault="00000000">
      <w:pPr>
        <w:spacing w:before="38" w:after="38" w:line="360" w:lineRule="auto"/>
      </w:pPr>
      <w:r>
        <w:rPr>
          <w:rFonts w:ascii="Times New Roman" w:hAnsi="Times New Roman"/>
        </w:rPr>
        <w:t>主要技术内容：</w:t>
      </w:r>
      <w:r>
        <w:rPr>
          <w:rFonts w:ascii="Times New Roman" w:hAnsi="Times New Roman" w:hint="eastAsia"/>
        </w:rPr>
        <w:t>莱姆病是</w:t>
      </w:r>
      <w:r>
        <w:rPr>
          <w:rFonts w:ascii="Times New Roman" w:hAnsi="Times New Roman" w:hint="eastAsia"/>
        </w:rPr>
        <w:t>1970</w:t>
      </w:r>
      <w:r>
        <w:rPr>
          <w:rFonts w:ascii="Times New Roman" w:hAnsi="Times New Roman" w:hint="eastAsia"/>
        </w:rPr>
        <w:t>年代中期发现重大新发传染病，在北半球广泛流行，中国</w:t>
      </w:r>
      <w:r>
        <w:rPr>
          <w:rFonts w:ascii="Times New Roman" w:hAnsi="Times New Roman" w:hint="eastAsia"/>
        </w:rPr>
        <w:t>30</w:t>
      </w:r>
      <w:r>
        <w:rPr>
          <w:rFonts w:ascii="Times New Roman" w:hAnsi="Times New Roman" w:hint="eastAsia"/>
        </w:rPr>
        <w:t>余个试试自治区都有流行，云南人群的血清阳性率较高，</w:t>
      </w:r>
      <w:r>
        <w:rPr>
          <w:rFonts w:ascii="Times New Roman" w:hAnsi="Times New Roman" w:hint="eastAsia"/>
        </w:rPr>
        <w:t>1990</w:t>
      </w:r>
      <w:r>
        <w:rPr>
          <w:rFonts w:ascii="Times New Roman" w:hAnsi="Times New Roman" w:hint="eastAsia"/>
        </w:rPr>
        <w:t>年代被列入云南省重要传染病。</w:t>
      </w:r>
      <w:r>
        <w:rPr>
          <w:lang w:bidi="ar"/>
        </w:rPr>
        <w:t>在</w:t>
      </w:r>
      <w:r>
        <w:rPr>
          <w:rFonts w:hint="eastAsia"/>
          <w:lang w:bidi="ar"/>
        </w:rPr>
        <w:t>5</w:t>
      </w:r>
      <w:r>
        <w:rPr>
          <w:lang w:bidi="ar"/>
        </w:rPr>
        <w:t>项国家自然科学基金等</w:t>
      </w:r>
      <w:r>
        <w:rPr>
          <w:lang w:bidi="ar"/>
        </w:rPr>
        <w:t>8</w:t>
      </w:r>
      <w:r>
        <w:rPr>
          <w:lang w:bidi="ar"/>
        </w:rPr>
        <w:t>个项</w:t>
      </w:r>
      <w:r>
        <w:rPr>
          <w:rFonts w:hint="eastAsia"/>
          <w:lang w:bidi="ar"/>
        </w:rPr>
        <w:t>目</w:t>
      </w:r>
      <w:r>
        <w:rPr>
          <w:lang w:bidi="ar"/>
        </w:rPr>
        <w:t>支持下，</w:t>
      </w:r>
      <w:r>
        <w:rPr>
          <w:rFonts w:hint="eastAsia"/>
          <w:lang w:bidi="ar"/>
        </w:rPr>
        <w:t>从</w:t>
      </w:r>
      <w:r>
        <w:rPr>
          <w:rFonts w:hint="eastAsia"/>
          <w:lang w:bidi="ar"/>
        </w:rPr>
        <w:t>1995</w:t>
      </w:r>
      <w:r>
        <w:rPr>
          <w:rFonts w:hint="eastAsia"/>
          <w:lang w:bidi="ar"/>
        </w:rPr>
        <w:t>年发表第一篇莱姆病文章算起</w:t>
      </w:r>
      <w:r>
        <w:rPr>
          <w:lang w:bidi="ar"/>
        </w:rPr>
        <w:t>，</w:t>
      </w:r>
      <w:r>
        <w:rPr>
          <w:rFonts w:hint="eastAsia"/>
          <w:lang w:bidi="ar"/>
        </w:rPr>
        <w:t>历时</w:t>
      </w:r>
      <w:r>
        <w:rPr>
          <w:rFonts w:hint="eastAsia"/>
          <w:lang w:bidi="ar"/>
        </w:rPr>
        <w:t>30</w:t>
      </w:r>
      <w:r>
        <w:rPr>
          <w:rFonts w:hint="eastAsia"/>
          <w:lang w:bidi="ar"/>
        </w:rPr>
        <w:t>年，</w:t>
      </w:r>
      <w:r>
        <w:rPr>
          <w:lang w:bidi="ar"/>
        </w:rPr>
        <w:t>围绕</w:t>
      </w:r>
      <w:r>
        <w:rPr>
          <w:rFonts w:hint="eastAsia"/>
          <w:lang w:bidi="ar"/>
        </w:rPr>
        <w:t>重大新发传染病—</w:t>
      </w:r>
      <w:r>
        <w:rPr>
          <w:lang w:bidi="ar"/>
        </w:rPr>
        <w:t>莱姆病发病机制不清</w:t>
      </w:r>
      <w:r>
        <w:rPr>
          <w:rFonts w:hint="eastAsia"/>
          <w:lang w:bidi="ar"/>
        </w:rPr>
        <w:t>和防治不规范</w:t>
      </w:r>
      <w:r>
        <w:rPr>
          <w:lang w:bidi="ar"/>
        </w:rPr>
        <w:t>关键科学问题，开展了长期深入系统研究，取得系列的重要科学发现：</w:t>
      </w:r>
    </w:p>
    <w:p w14:paraId="7572D914" w14:textId="77777777" w:rsidR="004D1F5E" w:rsidRDefault="00000000">
      <w:pPr>
        <w:spacing w:line="360" w:lineRule="auto"/>
        <w:rPr>
          <w:rFonts w:ascii="Times New Roman" w:hAnsi="Times New Roman"/>
        </w:rPr>
      </w:pPr>
      <w:r>
        <w:rPr>
          <w:rFonts w:ascii="Times New Roman" w:hAnsi="Times New Roman"/>
        </w:rPr>
        <w:t xml:space="preserve"> 1. </w:t>
      </w:r>
      <w:r>
        <w:rPr>
          <w:rFonts w:ascii="Times New Roman" w:hAnsi="Times New Roman"/>
        </w:rPr>
        <w:t>提出了莱姆病传播过程中</w:t>
      </w:r>
      <w:r>
        <w:rPr>
          <w:rFonts w:ascii="Times New Roman" w:hAnsi="Times New Roman"/>
        </w:rPr>
        <w:t>“</w:t>
      </w:r>
      <w:r>
        <w:rPr>
          <w:rFonts w:ascii="Times New Roman" w:hAnsi="Times New Roman"/>
        </w:rPr>
        <w:t>伯氏疏螺旋体（</w:t>
      </w:r>
      <w:r>
        <w:rPr>
          <w:rFonts w:ascii="Times New Roman" w:hAnsi="Times New Roman"/>
          <w:i/>
        </w:rPr>
        <w:t>Borrelia burgdorferi</w:t>
      </w:r>
      <w:r>
        <w:rPr>
          <w:rFonts w:ascii="Times New Roman" w:hAnsi="Times New Roman"/>
        </w:rPr>
        <w:t>, Bb</w:t>
      </w:r>
      <w:r>
        <w:rPr>
          <w:rFonts w:ascii="Times New Roman" w:hAnsi="Times New Roman"/>
        </w:rPr>
        <w:t>）</w:t>
      </w:r>
      <w:r>
        <w:rPr>
          <w:rFonts w:ascii="Times New Roman" w:hAnsi="Times New Roman"/>
        </w:rPr>
        <w:t>-</w:t>
      </w:r>
      <w:r>
        <w:rPr>
          <w:rFonts w:ascii="Times New Roman" w:hAnsi="Times New Roman"/>
        </w:rPr>
        <w:t>蜱媒</w:t>
      </w:r>
      <w:r>
        <w:rPr>
          <w:rFonts w:ascii="Times New Roman" w:hAnsi="Times New Roman"/>
        </w:rPr>
        <w:t>-</w:t>
      </w:r>
      <w:r>
        <w:rPr>
          <w:rFonts w:ascii="Times New Roman" w:hAnsi="Times New Roman"/>
        </w:rPr>
        <w:t>哺乳类宿主三角互作</w:t>
      </w:r>
      <w:r>
        <w:rPr>
          <w:rFonts w:ascii="Times New Roman" w:hAnsi="Times New Roman"/>
        </w:rPr>
        <w:t>”</w:t>
      </w:r>
      <w:r>
        <w:rPr>
          <w:rFonts w:ascii="Times New Roman" w:hAnsi="Times New Roman"/>
        </w:rPr>
        <w:t>的新概念，并发现了三角互作中的关键分子</w:t>
      </w:r>
      <w:r>
        <w:rPr>
          <w:rFonts w:ascii="Times New Roman" w:hAnsi="Times New Roman"/>
        </w:rPr>
        <w:t>TROSPA</w:t>
      </w:r>
      <w:r>
        <w:rPr>
          <w:rFonts w:ascii="Times New Roman" w:hAnsi="Times New Roman"/>
        </w:rPr>
        <w:t>和</w:t>
      </w:r>
      <w:r>
        <w:rPr>
          <w:rFonts w:ascii="Times New Roman" w:hAnsi="Times New Roman"/>
        </w:rPr>
        <w:t>Salp15</w:t>
      </w:r>
      <w:r>
        <w:rPr>
          <w:rFonts w:ascii="Times New Roman" w:hAnsi="Times New Roman"/>
        </w:rPr>
        <w:t>。</w:t>
      </w:r>
      <w:r>
        <w:rPr>
          <w:rFonts w:ascii="Times New Roman" w:hAnsi="Times New Roman"/>
        </w:rPr>
        <w:t xml:space="preserve"> 2. </w:t>
      </w:r>
      <w:r>
        <w:rPr>
          <w:rFonts w:ascii="Times New Roman" w:hAnsi="Times New Roman"/>
        </w:rPr>
        <w:t>系统深入地揭示了伯氏疏螺旋体（</w:t>
      </w:r>
      <w:r>
        <w:rPr>
          <w:rFonts w:ascii="Times New Roman" w:hAnsi="Times New Roman"/>
        </w:rPr>
        <w:t>Bb</w:t>
      </w:r>
      <w:r>
        <w:rPr>
          <w:rFonts w:ascii="Times New Roman" w:hAnsi="Times New Roman"/>
        </w:rPr>
        <w:t>）引起莱姆关节炎的机制，阐明了</w:t>
      </w:r>
      <w:r>
        <w:rPr>
          <w:rFonts w:ascii="Times New Roman" w:hAnsi="Times New Roman"/>
        </w:rPr>
        <w:t>BmpA</w:t>
      </w:r>
      <w:r>
        <w:rPr>
          <w:rFonts w:ascii="Times New Roman" w:hAnsi="Times New Roman"/>
        </w:rPr>
        <w:t>与关节内巨噬细胞表面</w:t>
      </w:r>
      <w:r>
        <w:rPr>
          <w:rFonts w:ascii="Times New Roman" w:hAnsi="Times New Roman"/>
        </w:rPr>
        <w:t>TLR1/2</w:t>
      </w:r>
      <w:r>
        <w:rPr>
          <w:rFonts w:ascii="Times New Roman" w:hAnsi="Times New Roman"/>
        </w:rPr>
        <w:t>受体结合，激活</w:t>
      </w:r>
      <w:r>
        <w:rPr>
          <w:rFonts w:ascii="Times New Roman" w:hAnsi="Times New Roman"/>
        </w:rPr>
        <w:t>NF-κB</w:t>
      </w:r>
      <w:r>
        <w:rPr>
          <w:rFonts w:ascii="Times New Roman" w:hAnsi="Times New Roman"/>
        </w:rPr>
        <w:t>，刺激趋化因子大量产生，引起关节炎症的机制。</w:t>
      </w:r>
      <w:r>
        <w:rPr>
          <w:rFonts w:ascii="Times New Roman" w:hAnsi="Times New Roman"/>
        </w:rPr>
        <w:t xml:space="preserve"> 3. </w:t>
      </w:r>
      <w:r>
        <w:rPr>
          <w:rFonts w:ascii="Times New Roman" w:hAnsi="Times New Roman"/>
        </w:rPr>
        <w:t>揭示了伯氏疏螺旋体（</w:t>
      </w:r>
      <w:r>
        <w:rPr>
          <w:rFonts w:ascii="Times New Roman" w:hAnsi="Times New Roman"/>
        </w:rPr>
        <w:t>Bb</w:t>
      </w:r>
      <w:r>
        <w:rPr>
          <w:rFonts w:ascii="Times New Roman" w:hAnsi="Times New Roman"/>
        </w:rPr>
        <w:t>）调控一个轴、两个分子、三条通路引起神经莱姆病的机制，包括</w:t>
      </w:r>
      <w:r>
        <w:rPr>
          <w:rFonts w:ascii="Times New Roman" w:hAnsi="Times New Roman"/>
        </w:rPr>
        <w:t>GRB2-ROCK2</w:t>
      </w:r>
      <w:r>
        <w:rPr>
          <w:rFonts w:ascii="Times New Roman" w:hAnsi="Times New Roman"/>
        </w:rPr>
        <w:t>轴、叶酸受体</w:t>
      </w:r>
      <w:r>
        <w:rPr>
          <w:rFonts w:ascii="Times New Roman" w:hAnsi="Times New Roman"/>
        </w:rPr>
        <w:t>2</w:t>
      </w:r>
      <w:r>
        <w:rPr>
          <w:rFonts w:ascii="Times New Roman" w:hAnsi="Times New Roman"/>
        </w:rPr>
        <w:t>（</w:t>
      </w:r>
      <w:r>
        <w:rPr>
          <w:rFonts w:ascii="Times New Roman" w:hAnsi="Times New Roman"/>
        </w:rPr>
        <w:t>FOLR2</w:t>
      </w:r>
      <w:r>
        <w:rPr>
          <w:rFonts w:ascii="Times New Roman" w:hAnsi="Times New Roman"/>
        </w:rPr>
        <w:t>）和宿主生长相关蛋白</w:t>
      </w:r>
      <w:r>
        <w:rPr>
          <w:rFonts w:ascii="Times New Roman" w:hAnsi="Times New Roman"/>
        </w:rPr>
        <w:t>43</w:t>
      </w:r>
      <w:r>
        <w:rPr>
          <w:rFonts w:ascii="Times New Roman" w:hAnsi="Times New Roman"/>
        </w:rPr>
        <w:t>（</w:t>
      </w:r>
      <w:r>
        <w:rPr>
          <w:rFonts w:ascii="Times New Roman" w:hAnsi="Times New Roman"/>
        </w:rPr>
        <w:t>GAP-43</w:t>
      </w:r>
      <w:r>
        <w:rPr>
          <w:rFonts w:ascii="Times New Roman" w:hAnsi="Times New Roman"/>
        </w:rPr>
        <w:t>）以及</w:t>
      </w:r>
      <w:r>
        <w:rPr>
          <w:rFonts w:ascii="Times New Roman" w:hAnsi="Times New Roman"/>
        </w:rPr>
        <w:t>Notch2</w:t>
      </w:r>
      <w:r>
        <w:rPr>
          <w:rFonts w:ascii="Times New Roman" w:hAnsi="Times New Roman"/>
        </w:rPr>
        <w:t>、</w:t>
      </w:r>
      <w:r>
        <w:rPr>
          <w:rFonts w:ascii="Times New Roman" w:hAnsi="Times New Roman"/>
        </w:rPr>
        <w:t>mTOR</w:t>
      </w:r>
      <w:r>
        <w:rPr>
          <w:rFonts w:ascii="Times New Roman" w:hAnsi="Times New Roman"/>
        </w:rPr>
        <w:t>和自噬信号通路。</w:t>
      </w:r>
      <w:r>
        <w:rPr>
          <w:rFonts w:ascii="Times New Roman" w:hAnsi="Times New Roman"/>
        </w:rPr>
        <w:t xml:space="preserve"> 4. </w:t>
      </w:r>
      <w:r>
        <w:rPr>
          <w:rFonts w:ascii="Times New Roman" w:hAnsi="Times New Roman"/>
        </w:rPr>
        <w:t>首次发现了异毛喉素和雪胆甲素具有治疗莱姆病的潜力。</w:t>
      </w:r>
      <w:r>
        <w:rPr>
          <w:rFonts w:ascii="Times New Roman" w:hAnsi="Times New Roman"/>
        </w:rPr>
        <w:t xml:space="preserve"> 5. </w:t>
      </w:r>
      <w:r>
        <w:rPr>
          <w:rFonts w:ascii="Times New Roman" w:hAnsi="Times New Roman"/>
        </w:rPr>
        <w:t>采用循证医学方法，系统分析了全球莱姆病</w:t>
      </w:r>
      <w:r>
        <w:rPr>
          <w:rFonts w:ascii="Times New Roman" w:hAnsi="Times New Roman" w:hint="eastAsia"/>
        </w:rPr>
        <w:t>多方面</w:t>
      </w:r>
      <w:r>
        <w:rPr>
          <w:rFonts w:ascii="Times New Roman" w:hAnsi="Times New Roman"/>
        </w:rPr>
        <w:t>现状，为全球莱姆病防控提供了科学依据。</w:t>
      </w:r>
      <w:r>
        <w:rPr>
          <w:rFonts w:ascii="Times New Roman" w:hAnsi="Times New Roman"/>
        </w:rPr>
        <w:t xml:space="preserve"> </w:t>
      </w:r>
      <w:r>
        <w:rPr>
          <w:rFonts w:ascii="Times New Roman" w:hAnsi="Times New Roman"/>
        </w:rPr>
        <w:br/>
        <w:t xml:space="preserve">   </w:t>
      </w:r>
      <w:r>
        <w:rPr>
          <w:rFonts w:ascii="Times New Roman" w:hAnsi="Times New Roman"/>
          <w:b/>
          <w:bCs/>
        </w:rPr>
        <w:t>授权专利情况：</w:t>
      </w:r>
      <w:r>
        <w:rPr>
          <w:rFonts w:ascii="Times New Roman" w:hAnsi="Times New Roman"/>
          <w:b/>
          <w:bCs/>
        </w:rPr>
        <w:t xml:space="preserve"> </w:t>
      </w:r>
      <w:r>
        <w:rPr>
          <w:rFonts w:ascii="Times New Roman" w:hAnsi="Times New Roman"/>
        </w:rPr>
        <w:t>本项目共授权了</w:t>
      </w:r>
      <w:r>
        <w:rPr>
          <w:rFonts w:ascii="Times New Roman" w:hAnsi="Times New Roman"/>
        </w:rPr>
        <w:t>10</w:t>
      </w:r>
      <w:r>
        <w:rPr>
          <w:rFonts w:ascii="Times New Roman" w:hAnsi="Times New Roman"/>
        </w:rPr>
        <w:t>项专利，其中</w:t>
      </w:r>
      <w:r>
        <w:rPr>
          <w:rFonts w:ascii="Times New Roman" w:hAnsi="Times New Roman"/>
        </w:rPr>
        <w:t>1</w:t>
      </w:r>
      <w:r>
        <w:rPr>
          <w:rFonts w:ascii="Times New Roman" w:hAnsi="Times New Roman"/>
        </w:rPr>
        <w:t>项为发明专利。</w:t>
      </w:r>
      <w:r>
        <w:rPr>
          <w:rFonts w:ascii="Times New Roman" w:hAnsi="Times New Roman"/>
        </w:rPr>
        <w:t xml:space="preserve">1. </w:t>
      </w:r>
      <w:r>
        <w:rPr>
          <w:rFonts w:ascii="Times New Roman" w:hAnsi="Times New Roman"/>
        </w:rPr>
        <w:t>发明专利：</w:t>
      </w:r>
      <w:r>
        <w:rPr>
          <w:rFonts w:ascii="Times New Roman" w:hAnsi="Times New Roman"/>
        </w:rPr>
        <w:t xml:space="preserve"> </w:t>
      </w:r>
      <w:r>
        <w:rPr>
          <w:rFonts w:ascii="Times New Roman" w:hAnsi="Times New Roman"/>
        </w:rPr>
        <w:t>丁喆，柳爱华，宝福凯，叶酸受体</w:t>
      </w:r>
      <w:r>
        <w:rPr>
          <w:rFonts w:ascii="Times New Roman" w:hAnsi="Times New Roman"/>
        </w:rPr>
        <w:t>FOLR2</w:t>
      </w:r>
      <w:r>
        <w:rPr>
          <w:rFonts w:ascii="Times New Roman" w:hAnsi="Times New Roman"/>
        </w:rPr>
        <w:t>及其编码基因的应用，</w:t>
      </w:r>
      <w:r>
        <w:rPr>
          <w:rFonts w:ascii="Times New Roman" w:hAnsi="Times New Roman"/>
        </w:rPr>
        <w:t>2022-11-18</w:t>
      </w:r>
      <w:r>
        <w:rPr>
          <w:rFonts w:ascii="Times New Roman" w:hAnsi="Times New Roman"/>
        </w:rPr>
        <w:t>，中华人民共和国，</w:t>
      </w:r>
      <w:r>
        <w:rPr>
          <w:rFonts w:ascii="Times New Roman" w:hAnsi="Times New Roman"/>
        </w:rPr>
        <w:t>ZL 2019 1 0368760.0</w:t>
      </w:r>
      <w:r>
        <w:rPr>
          <w:rFonts w:ascii="Times New Roman" w:hAnsi="Times New Roman" w:hint="eastAsia"/>
        </w:rPr>
        <w:t>（发现</w:t>
      </w:r>
      <w:r>
        <w:rPr>
          <w:rFonts w:ascii="Times New Roman" w:hAnsi="Times New Roman"/>
        </w:rPr>
        <w:t>叶酸受体</w:t>
      </w:r>
      <w:r>
        <w:rPr>
          <w:rFonts w:ascii="Times New Roman" w:hAnsi="Times New Roman" w:hint="eastAsia"/>
        </w:rPr>
        <w:t>可作为莱姆病标志物）</w:t>
      </w:r>
      <w:r>
        <w:rPr>
          <w:rFonts w:ascii="Times New Roman" w:hAnsi="Times New Roman"/>
        </w:rPr>
        <w:t>。</w:t>
      </w:r>
      <w:r>
        <w:rPr>
          <w:rFonts w:ascii="Times New Roman" w:hAnsi="Times New Roman"/>
        </w:rPr>
        <w:t xml:space="preserve"> 2. </w:t>
      </w:r>
      <w:r>
        <w:rPr>
          <w:rFonts w:ascii="Times New Roman" w:hAnsi="Times New Roman"/>
        </w:rPr>
        <w:t>实用新型专利（</w:t>
      </w:r>
      <w:r>
        <w:rPr>
          <w:rFonts w:ascii="Times New Roman" w:hAnsi="Times New Roman"/>
        </w:rPr>
        <w:t>9</w:t>
      </w:r>
      <w:r>
        <w:rPr>
          <w:rFonts w:ascii="Times New Roman" w:hAnsi="Times New Roman"/>
        </w:rPr>
        <w:t>项）：</w:t>
      </w:r>
      <w:r>
        <w:rPr>
          <w:rFonts w:ascii="Times New Roman" w:hAnsi="Times New Roman" w:hint="eastAsia"/>
        </w:rPr>
        <w:t>详见附件。</w:t>
      </w:r>
    </w:p>
    <w:p w14:paraId="29EB1AD7" w14:textId="77777777" w:rsidR="004D1F5E" w:rsidRDefault="00000000">
      <w:pPr>
        <w:spacing w:line="360" w:lineRule="auto"/>
        <w:rPr>
          <w:rFonts w:ascii="Times New Roman" w:hAnsi="Times New Roman"/>
          <w:color w:val="000000"/>
        </w:rPr>
      </w:pPr>
      <w:r>
        <w:rPr>
          <w:rFonts w:ascii="Times New Roman" w:hAnsi="Times New Roman"/>
        </w:rPr>
        <w:t xml:space="preserve">   </w:t>
      </w:r>
      <w:r>
        <w:rPr>
          <w:rFonts w:ascii="Times New Roman" w:hAnsi="Times New Roman"/>
          <w:b/>
          <w:bCs/>
        </w:rPr>
        <w:t>技术经济指标：</w:t>
      </w:r>
      <w:r>
        <w:rPr>
          <w:rFonts w:ascii="Times New Roman" w:hAnsi="Times New Roman"/>
          <w:color w:val="000000"/>
        </w:rPr>
        <w:t>主要包括以下几个方面：</w:t>
      </w:r>
      <w:r>
        <w:rPr>
          <w:rFonts w:ascii="Times New Roman" w:hAnsi="Times New Roman"/>
          <w:color w:val="000000"/>
        </w:rPr>
        <w:t xml:space="preserve"> 1. </w:t>
      </w:r>
      <w:r>
        <w:rPr>
          <w:rFonts w:ascii="Times New Roman" w:hAnsi="Times New Roman"/>
          <w:color w:val="000000"/>
        </w:rPr>
        <w:t>论文发表：项目团队共发表了</w:t>
      </w:r>
      <w:r>
        <w:rPr>
          <w:rFonts w:ascii="Times New Roman" w:hAnsi="Times New Roman"/>
          <w:color w:val="000000"/>
        </w:rPr>
        <w:t>81</w:t>
      </w:r>
      <w:r>
        <w:rPr>
          <w:rFonts w:ascii="Times New Roman" w:hAnsi="Times New Roman"/>
          <w:color w:val="000000"/>
        </w:rPr>
        <w:t>篇论文，其中</w:t>
      </w:r>
      <w:r>
        <w:rPr>
          <w:rFonts w:ascii="Times New Roman" w:hAnsi="Times New Roman"/>
          <w:color w:val="000000"/>
        </w:rPr>
        <w:t>29</w:t>
      </w:r>
      <w:r>
        <w:rPr>
          <w:rFonts w:ascii="Times New Roman" w:hAnsi="Times New Roman"/>
          <w:color w:val="000000"/>
        </w:rPr>
        <w:t>篇被</w:t>
      </w:r>
      <w:r>
        <w:rPr>
          <w:rFonts w:ascii="Times New Roman" w:hAnsi="Times New Roman"/>
          <w:color w:val="000000"/>
        </w:rPr>
        <w:t>SCI</w:t>
      </w:r>
      <w:r>
        <w:rPr>
          <w:rFonts w:ascii="Times New Roman" w:hAnsi="Times New Roman"/>
          <w:color w:val="000000"/>
        </w:rPr>
        <w:t>收录，累计影响因子达到</w:t>
      </w:r>
      <w:r>
        <w:rPr>
          <w:rFonts w:ascii="Times New Roman" w:hAnsi="Times New Roman"/>
          <w:color w:val="000000"/>
        </w:rPr>
        <w:t>297.8</w:t>
      </w:r>
      <w:r>
        <w:rPr>
          <w:rFonts w:ascii="Times New Roman" w:hAnsi="Times New Roman"/>
          <w:color w:val="000000"/>
        </w:rPr>
        <w:t>，被引用</w:t>
      </w:r>
      <w:r>
        <w:rPr>
          <w:rFonts w:ascii="Times New Roman" w:hAnsi="Times New Roman"/>
          <w:color w:val="000000"/>
        </w:rPr>
        <w:t>886</w:t>
      </w:r>
      <w:r>
        <w:rPr>
          <w:rFonts w:ascii="Times New Roman" w:hAnsi="Times New Roman"/>
          <w:color w:val="000000"/>
        </w:rPr>
        <w:t>次。</w:t>
      </w:r>
      <w:r>
        <w:rPr>
          <w:rFonts w:ascii="Times New Roman" w:hAnsi="Times New Roman"/>
          <w:color w:val="000000"/>
        </w:rPr>
        <w:t xml:space="preserve"> </w:t>
      </w:r>
      <w:r>
        <w:rPr>
          <w:rFonts w:ascii="Times New Roman" w:hAnsi="Times New Roman" w:hint="eastAsia"/>
          <w:color w:val="000000"/>
        </w:rPr>
        <w:t>多篇论文被</w:t>
      </w:r>
      <w:r>
        <w:rPr>
          <w:rFonts w:hint="eastAsia"/>
          <w:lang w:bidi="ar"/>
        </w:rPr>
        <w:t>顶级学术期刊引用和正面评价，包括《</w:t>
      </w:r>
      <w:r>
        <w:rPr>
          <w:rFonts w:hint="eastAsia"/>
          <w:lang w:bidi="ar"/>
        </w:rPr>
        <w:t>Nature Medicine</w:t>
      </w:r>
      <w:r>
        <w:rPr>
          <w:rFonts w:hint="eastAsia"/>
          <w:lang w:bidi="ar"/>
        </w:rPr>
        <w:t>》、《</w:t>
      </w:r>
      <w:r>
        <w:rPr>
          <w:rFonts w:hint="eastAsia"/>
          <w:lang w:bidi="ar"/>
        </w:rPr>
        <w:t>Cell</w:t>
      </w:r>
      <w:r>
        <w:rPr>
          <w:rFonts w:hint="eastAsia"/>
          <w:lang w:bidi="ar"/>
        </w:rPr>
        <w:t>》、《</w:t>
      </w:r>
      <w:r>
        <w:rPr>
          <w:rFonts w:hint="eastAsia"/>
          <w:lang w:bidi="ar"/>
        </w:rPr>
        <w:t>Science</w:t>
      </w:r>
      <w:r>
        <w:rPr>
          <w:rFonts w:hint="eastAsia"/>
          <w:lang w:bidi="ar"/>
        </w:rPr>
        <w:t>》、《</w:t>
      </w:r>
      <w:r>
        <w:rPr>
          <w:rFonts w:hint="eastAsia"/>
          <w:lang w:bidi="ar"/>
        </w:rPr>
        <w:t>Lancet</w:t>
      </w:r>
      <w:r>
        <w:rPr>
          <w:rFonts w:hint="eastAsia"/>
          <w:lang w:bidi="ar"/>
        </w:rPr>
        <w:t>》、《</w:t>
      </w:r>
      <w:r>
        <w:rPr>
          <w:rFonts w:hint="eastAsia"/>
          <w:lang w:bidi="ar"/>
        </w:rPr>
        <w:t>NEJM</w:t>
      </w:r>
      <w:r>
        <w:rPr>
          <w:rFonts w:hint="eastAsia"/>
          <w:lang w:bidi="ar"/>
        </w:rPr>
        <w:t>》、《</w:t>
      </w:r>
      <w:r>
        <w:rPr>
          <w:lang w:bidi="ar"/>
        </w:rPr>
        <w:t>N</w:t>
      </w:r>
      <w:r>
        <w:rPr>
          <w:rFonts w:hint="eastAsia"/>
          <w:lang w:bidi="ar"/>
        </w:rPr>
        <w:t>a</w:t>
      </w:r>
      <w:r>
        <w:rPr>
          <w:lang w:bidi="ar"/>
        </w:rPr>
        <w:t>ture rev</w:t>
      </w:r>
      <w:r>
        <w:rPr>
          <w:rFonts w:hint="eastAsia"/>
          <w:lang w:bidi="ar"/>
        </w:rPr>
        <w:t>iews</w:t>
      </w:r>
      <w:r>
        <w:rPr>
          <w:lang w:bidi="ar"/>
        </w:rPr>
        <w:t xml:space="preserve"> </w:t>
      </w:r>
      <w:r>
        <w:rPr>
          <w:rFonts w:hint="eastAsia"/>
          <w:lang w:bidi="ar"/>
        </w:rPr>
        <w:t>Microbiol</w:t>
      </w:r>
      <w:r>
        <w:rPr>
          <w:rFonts w:hint="eastAsia"/>
          <w:lang w:bidi="ar"/>
        </w:rPr>
        <w:t>》、《</w:t>
      </w:r>
      <w:r>
        <w:rPr>
          <w:lang w:bidi="ar"/>
        </w:rPr>
        <w:t>N</w:t>
      </w:r>
      <w:r>
        <w:rPr>
          <w:rFonts w:hint="eastAsia"/>
          <w:lang w:bidi="ar"/>
        </w:rPr>
        <w:t>a</w:t>
      </w:r>
      <w:r>
        <w:rPr>
          <w:lang w:bidi="ar"/>
        </w:rPr>
        <w:t>ture rev</w:t>
      </w:r>
      <w:r>
        <w:rPr>
          <w:rFonts w:hint="eastAsia"/>
          <w:lang w:bidi="ar"/>
        </w:rPr>
        <w:t>iews</w:t>
      </w:r>
      <w:r>
        <w:rPr>
          <w:lang w:bidi="ar"/>
        </w:rPr>
        <w:t xml:space="preserve"> </w:t>
      </w:r>
      <w:r>
        <w:rPr>
          <w:rFonts w:hint="eastAsia"/>
          <w:lang w:bidi="ar"/>
        </w:rPr>
        <w:t>Dise</w:t>
      </w:r>
      <w:r>
        <w:rPr>
          <w:lang w:bidi="ar"/>
        </w:rPr>
        <w:t>a</w:t>
      </w:r>
      <w:r>
        <w:rPr>
          <w:rFonts w:hint="eastAsia"/>
          <w:lang w:bidi="ar"/>
        </w:rPr>
        <w:t>se</w:t>
      </w:r>
      <w:r>
        <w:rPr>
          <w:lang w:bidi="ar"/>
        </w:rPr>
        <w:t xml:space="preserve"> Primer</w:t>
      </w:r>
      <w:r>
        <w:rPr>
          <w:rFonts w:hint="eastAsia"/>
          <w:lang w:bidi="ar"/>
        </w:rPr>
        <w:t>s</w:t>
      </w:r>
      <w:r>
        <w:rPr>
          <w:rFonts w:hint="eastAsia"/>
          <w:lang w:bidi="ar"/>
        </w:rPr>
        <w:t>》、《</w:t>
      </w:r>
      <w:r>
        <w:rPr>
          <w:lang w:bidi="ar"/>
        </w:rPr>
        <w:t>Nature Rev</w:t>
      </w:r>
      <w:r>
        <w:rPr>
          <w:rFonts w:hint="eastAsia"/>
          <w:lang w:bidi="ar"/>
        </w:rPr>
        <w:t>iews</w:t>
      </w:r>
      <w:r>
        <w:rPr>
          <w:lang w:bidi="ar"/>
        </w:rPr>
        <w:t xml:space="preserve"> Rheum</w:t>
      </w:r>
      <w:r>
        <w:rPr>
          <w:rFonts w:hint="eastAsia"/>
          <w:lang w:bidi="ar"/>
        </w:rPr>
        <w:t>atol</w:t>
      </w:r>
      <w:r>
        <w:rPr>
          <w:rFonts w:hint="eastAsia"/>
          <w:lang w:bidi="ar"/>
        </w:rPr>
        <w:t>》、《</w:t>
      </w:r>
      <w:r>
        <w:rPr>
          <w:rFonts w:hint="eastAsia"/>
          <w:lang w:bidi="ar"/>
        </w:rPr>
        <w:t>Immunity</w:t>
      </w:r>
      <w:r>
        <w:rPr>
          <w:rFonts w:hint="eastAsia"/>
          <w:lang w:bidi="ar"/>
        </w:rPr>
        <w:t>》、《</w:t>
      </w:r>
      <w:r>
        <w:rPr>
          <w:rFonts w:hint="eastAsia"/>
          <w:lang w:bidi="ar"/>
        </w:rPr>
        <w:t>Cell Chem Biol</w:t>
      </w:r>
      <w:r>
        <w:rPr>
          <w:rFonts w:hint="eastAsia"/>
          <w:lang w:bidi="ar"/>
        </w:rPr>
        <w:t>》等顶级期刊。</w:t>
      </w:r>
      <w:r>
        <w:rPr>
          <w:rFonts w:ascii="Times New Roman" w:hAnsi="Times New Roman"/>
          <w:color w:val="000000"/>
        </w:rPr>
        <w:t xml:space="preserve">2. </w:t>
      </w:r>
      <w:r>
        <w:rPr>
          <w:rFonts w:ascii="Times New Roman" w:hAnsi="Times New Roman"/>
          <w:color w:val="000000"/>
        </w:rPr>
        <w:t>专著出版：出版了莱姆病</w:t>
      </w:r>
      <w:r>
        <w:rPr>
          <w:rFonts w:ascii="Times New Roman" w:hAnsi="Times New Roman" w:hint="eastAsia"/>
          <w:color w:val="000000"/>
        </w:rPr>
        <w:t>系列</w:t>
      </w:r>
      <w:r>
        <w:rPr>
          <w:rFonts w:ascii="Times New Roman" w:hAnsi="Times New Roman"/>
          <w:color w:val="000000"/>
        </w:rPr>
        <w:t>专著</w:t>
      </w:r>
      <w:r>
        <w:rPr>
          <w:rFonts w:ascii="Times New Roman" w:hAnsi="Times New Roman"/>
          <w:color w:val="000000"/>
        </w:rPr>
        <w:t>3</w:t>
      </w:r>
      <w:r>
        <w:rPr>
          <w:rFonts w:ascii="Times New Roman" w:hAnsi="Times New Roman"/>
          <w:color w:val="000000"/>
        </w:rPr>
        <w:t>部。</w:t>
      </w:r>
      <w:r>
        <w:rPr>
          <w:rFonts w:ascii="Times New Roman" w:hAnsi="Times New Roman"/>
          <w:color w:val="000000"/>
        </w:rPr>
        <w:t xml:space="preserve"> 3. </w:t>
      </w:r>
      <w:r>
        <w:rPr>
          <w:rFonts w:ascii="Times New Roman" w:hAnsi="Times New Roman"/>
          <w:color w:val="000000"/>
        </w:rPr>
        <w:t>教材编写：编写了</w:t>
      </w:r>
      <w:r>
        <w:rPr>
          <w:rFonts w:ascii="Times New Roman" w:hAnsi="Times New Roman"/>
          <w:color w:val="000000"/>
        </w:rPr>
        <w:t>5</w:t>
      </w:r>
      <w:r>
        <w:rPr>
          <w:rFonts w:ascii="Times New Roman" w:hAnsi="Times New Roman"/>
          <w:color w:val="000000"/>
        </w:rPr>
        <w:t>部全国使用的微生物学、免疫学本科教材。</w:t>
      </w:r>
      <w:r>
        <w:rPr>
          <w:rFonts w:ascii="Times New Roman" w:hAnsi="Times New Roman"/>
          <w:color w:val="000000"/>
        </w:rPr>
        <w:t xml:space="preserve">4. </w:t>
      </w:r>
      <w:r>
        <w:rPr>
          <w:rFonts w:ascii="Times New Roman" w:hAnsi="Times New Roman"/>
          <w:color w:val="000000"/>
        </w:rPr>
        <w:t>人才培养：培养了</w:t>
      </w:r>
      <w:r>
        <w:rPr>
          <w:rFonts w:ascii="Times New Roman" w:hAnsi="Times New Roman"/>
          <w:color w:val="000000"/>
        </w:rPr>
        <w:t>5</w:t>
      </w:r>
      <w:r>
        <w:rPr>
          <w:rFonts w:ascii="Times New Roman" w:hAnsi="Times New Roman"/>
          <w:color w:val="000000"/>
        </w:rPr>
        <w:t>名</w:t>
      </w:r>
      <w:r>
        <w:rPr>
          <w:rFonts w:ascii="Times New Roman" w:hAnsi="Times New Roman"/>
          <w:color w:val="000000"/>
        </w:rPr>
        <w:lastRenderedPageBreak/>
        <w:t>博士生和</w:t>
      </w:r>
      <w:r>
        <w:rPr>
          <w:rFonts w:ascii="Times New Roman" w:hAnsi="Times New Roman"/>
          <w:color w:val="000000"/>
        </w:rPr>
        <w:t>10</w:t>
      </w:r>
      <w:r>
        <w:rPr>
          <w:rFonts w:ascii="Times New Roman" w:hAnsi="Times New Roman"/>
          <w:color w:val="000000"/>
        </w:rPr>
        <w:t>名硕士生。</w:t>
      </w:r>
      <w:r>
        <w:rPr>
          <w:rFonts w:ascii="Times New Roman" w:hAnsi="Times New Roman"/>
          <w:color w:val="000000"/>
        </w:rPr>
        <w:t xml:space="preserve"> 6. </w:t>
      </w:r>
      <w:r>
        <w:rPr>
          <w:rFonts w:ascii="Times New Roman" w:hAnsi="Times New Roman"/>
          <w:color w:val="000000"/>
        </w:rPr>
        <w:t>科研平台建设：建立了立足云南、辐射周边和东南亚的热带病研究平台。</w:t>
      </w:r>
    </w:p>
    <w:p w14:paraId="303AC856" w14:textId="77777777" w:rsidR="004D1F5E" w:rsidRDefault="00000000">
      <w:pPr>
        <w:spacing w:line="360" w:lineRule="auto"/>
        <w:rPr>
          <w:rFonts w:ascii="Times New Roman" w:hAnsi="Times New Roman"/>
        </w:rPr>
      </w:pPr>
      <w:r>
        <w:rPr>
          <w:rFonts w:ascii="Times New Roman" w:hAnsi="Times New Roman"/>
        </w:rPr>
        <w:t xml:space="preserve">   </w:t>
      </w:r>
      <w:r>
        <w:rPr>
          <w:rFonts w:ascii="Times New Roman" w:hAnsi="Times New Roman"/>
          <w:b/>
          <w:bCs/>
        </w:rPr>
        <w:t>应用推广情况：</w:t>
      </w:r>
      <w:r>
        <w:rPr>
          <w:rFonts w:ascii="Times New Roman" w:hAnsi="Times New Roman"/>
        </w:rPr>
        <w:t>主要包括以下几个方面：</w:t>
      </w:r>
      <w:r>
        <w:rPr>
          <w:rFonts w:ascii="Times New Roman" w:hAnsi="Times New Roman"/>
        </w:rPr>
        <w:t xml:space="preserve">1. </w:t>
      </w:r>
      <w:r>
        <w:rPr>
          <w:rFonts w:ascii="Times New Roman" w:hAnsi="Times New Roman"/>
        </w:rPr>
        <w:t>医学教育：通过出版专著和教材，将最新的莱姆病研究成果</w:t>
      </w:r>
      <w:r>
        <w:rPr>
          <w:rFonts w:ascii="Times New Roman" w:hAnsi="Times New Roman" w:hint="eastAsia"/>
        </w:rPr>
        <w:t>应用于</w:t>
      </w:r>
      <w:r>
        <w:rPr>
          <w:rFonts w:ascii="Times New Roman" w:hAnsi="Times New Roman"/>
        </w:rPr>
        <w:t>医学教育，提高了医学专业人</w:t>
      </w:r>
      <w:r>
        <w:rPr>
          <w:rFonts w:ascii="Times New Roman" w:hAnsi="Times New Roman" w:hint="eastAsia"/>
        </w:rPr>
        <w:t>员</w:t>
      </w:r>
      <w:r>
        <w:rPr>
          <w:rFonts w:ascii="Times New Roman" w:hAnsi="Times New Roman"/>
        </w:rPr>
        <w:t>对莱姆病的认识和防治能力。</w:t>
      </w:r>
      <w:r>
        <w:rPr>
          <w:rFonts w:ascii="Times New Roman" w:hAnsi="Times New Roman"/>
        </w:rPr>
        <w:t xml:space="preserve"> 2. </w:t>
      </w:r>
      <w:r>
        <w:rPr>
          <w:rFonts w:ascii="Times New Roman" w:hAnsi="Times New Roman"/>
        </w:rPr>
        <w:t>临床实践：项目团队</w:t>
      </w:r>
      <w:r>
        <w:rPr>
          <w:rFonts w:ascii="Times New Roman" w:hAnsi="Times New Roman" w:hint="eastAsia"/>
        </w:rPr>
        <w:t>发现</w:t>
      </w:r>
      <w:r>
        <w:rPr>
          <w:rFonts w:ascii="Times New Roman" w:hAnsi="Times New Roman"/>
        </w:rPr>
        <w:t>的新诊断标志物</w:t>
      </w:r>
      <w:r>
        <w:rPr>
          <w:rFonts w:ascii="Times New Roman" w:hAnsi="Times New Roman" w:hint="eastAsia"/>
        </w:rPr>
        <w:t>叶酸受体（</w:t>
      </w:r>
      <w:r>
        <w:rPr>
          <w:rFonts w:ascii="Times New Roman" w:hAnsi="Times New Roman" w:hint="eastAsia"/>
        </w:rPr>
        <w:t>FR</w:t>
      </w:r>
      <w:r>
        <w:rPr>
          <w:rFonts w:ascii="Times New Roman" w:hAnsi="Times New Roman" w:hint="eastAsia"/>
        </w:rPr>
        <w:t>）和趋化因子</w:t>
      </w:r>
      <w:r>
        <w:rPr>
          <w:rFonts w:ascii="Times New Roman" w:hAnsi="Times New Roman"/>
        </w:rPr>
        <w:t>CXCL13</w:t>
      </w:r>
      <w:r>
        <w:rPr>
          <w:rFonts w:ascii="Times New Roman" w:hAnsi="Times New Roman"/>
        </w:rPr>
        <w:t>，为临床</w:t>
      </w:r>
      <w:r>
        <w:rPr>
          <w:rFonts w:ascii="Times New Roman" w:hAnsi="Times New Roman" w:hint="eastAsia"/>
        </w:rPr>
        <w:t>诊断神经莱姆病</w:t>
      </w:r>
      <w:r>
        <w:rPr>
          <w:rFonts w:ascii="Times New Roman" w:hAnsi="Times New Roman"/>
        </w:rPr>
        <w:t>提供了更准确的诊断工具。</w:t>
      </w:r>
      <w:r>
        <w:rPr>
          <w:rFonts w:ascii="Times New Roman" w:hAnsi="Times New Roman"/>
        </w:rPr>
        <w:t xml:space="preserve">3. </w:t>
      </w:r>
      <w:r>
        <w:rPr>
          <w:rFonts w:ascii="Times New Roman" w:hAnsi="Times New Roman"/>
        </w:rPr>
        <w:t>国际合作与交流：通过</w:t>
      </w:r>
      <w:r>
        <w:rPr>
          <w:rFonts w:ascii="Times New Roman" w:hAnsi="Times New Roman" w:hint="eastAsia"/>
        </w:rPr>
        <w:t>该项目</w:t>
      </w:r>
      <w:r>
        <w:rPr>
          <w:rFonts w:ascii="Times New Roman" w:hAnsi="Times New Roman"/>
        </w:rPr>
        <w:t>建立</w:t>
      </w:r>
      <w:r>
        <w:rPr>
          <w:rFonts w:ascii="Times New Roman" w:hAnsi="Times New Roman" w:hint="eastAsia"/>
        </w:rPr>
        <w:t>了</w:t>
      </w:r>
      <w:r>
        <w:rPr>
          <w:rFonts w:ascii="Times New Roman" w:hAnsi="Times New Roman"/>
        </w:rPr>
        <w:t>热带病研究平台</w:t>
      </w:r>
      <w:r>
        <w:rPr>
          <w:rFonts w:ascii="Times New Roman" w:hAnsi="Times New Roman" w:hint="eastAsia"/>
        </w:rPr>
        <w:t>和云南省重点实验室</w:t>
      </w:r>
      <w:r>
        <w:rPr>
          <w:rFonts w:ascii="Times New Roman" w:hAnsi="Times New Roman"/>
        </w:rPr>
        <w:t>，推动了莱姆病研究的国际交流与合作。</w:t>
      </w:r>
    </w:p>
    <w:p w14:paraId="521248B4" w14:textId="77777777" w:rsidR="004D1F5E" w:rsidRDefault="00000000">
      <w:pPr>
        <w:spacing w:line="360" w:lineRule="auto"/>
        <w:rPr>
          <w:rFonts w:ascii="Times New Roman" w:hAnsi="Times New Roman"/>
        </w:rPr>
      </w:pPr>
      <w:r>
        <w:rPr>
          <w:rFonts w:ascii="Times New Roman" w:hAnsi="Times New Roman"/>
        </w:rPr>
        <w:t xml:space="preserve">   </w:t>
      </w:r>
      <w:r>
        <w:rPr>
          <w:rFonts w:ascii="Times New Roman" w:hAnsi="Times New Roman"/>
          <w:b/>
          <w:bCs/>
        </w:rPr>
        <w:t>效益情况：</w:t>
      </w:r>
      <w:r>
        <w:rPr>
          <w:rFonts w:ascii="Times New Roman" w:hAnsi="Times New Roman"/>
        </w:rPr>
        <w:t>主要包括以下几个方面：</w:t>
      </w:r>
      <w:r>
        <w:rPr>
          <w:rFonts w:ascii="Times New Roman" w:hAnsi="Times New Roman"/>
        </w:rPr>
        <w:t xml:space="preserve"> 1. </w:t>
      </w:r>
      <w:r>
        <w:rPr>
          <w:rFonts w:ascii="Times New Roman" w:hAnsi="Times New Roman"/>
        </w:rPr>
        <w:t>科学发现：</w:t>
      </w:r>
      <w:r>
        <w:rPr>
          <w:rFonts w:ascii="Times New Roman" w:hAnsi="Times New Roman" w:hint="eastAsia"/>
        </w:rPr>
        <w:t>阐明莱姆病重要发病机制</w:t>
      </w:r>
      <w:r>
        <w:rPr>
          <w:rFonts w:ascii="Times New Roman" w:hAnsi="Times New Roman"/>
        </w:rPr>
        <w:t>。</w:t>
      </w:r>
      <w:r>
        <w:rPr>
          <w:rFonts w:ascii="Times New Roman" w:hAnsi="Times New Roman"/>
        </w:rPr>
        <w:t xml:space="preserve"> 2. </w:t>
      </w:r>
      <w:r>
        <w:rPr>
          <w:rFonts w:ascii="Times New Roman" w:hAnsi="Times New Roman"/>
        </w:rPr>
        <w:t>防治策略：通过循证医学</w:t>
      </w:r>
      <w:r>
        <w:rPr>
          <w:rFonts w:ascii="Times New Roman" w:hAnsi="Times New Roman" w:hint="eastAsia"/>
        </w:rPr>
        <w:t>研究</w:t>
      </w:r>
      <w:r>
        <w:rPr>
          <w:rFonts w:ascii="Times New Roman" w:hAnsi="Times New Roman"/>
        </w:rPr>
        <w:t>，为全球莱姆病的预防和治疗提供了新策略。</w:t>
      </w:r>
      <w:r>
        <w:rPr>
          <w:rFonts w:ascii="Times New Roman" w:hAnsi="Times New Roman"/>
        </w:rPr>
        <w:t xml:space="preserve"> 3. </w:t>
      </w:r>
      <w:r>
        <w:rPr>
          <w:rFonts w:ascii="Times New Roman" w:hAnsi="Times New Roman"/>
        </w:rPr>
        <w:t>新治疗方法：发现异毛喉素和雪胆甲素等为莱姆病的治疗提供了新途径。</w:t>
      </w:r>
      <w:r>
        <w:rPr>
          <w:rFonts w:ascii="Times New Roman" w:hAnsi="Times New Roman"/>
        </w:rPr>
        <w:t xml:space="preserve">  4. </w:t>
      </w:r>
      <w:r>
        <w:rPr>
          <w:rFonts w:ascii="Times New Roman" w:hAnsi="Times New Roman"/>
        </w:rPr>
        <w:t>人才培养：项目培养了</w:t>
      </w:r>
      <w:r>
        <w:rPr>
          <w:rFonts w:ascii="Times New Roman" w:hAnsi="Times New Roman" w:hint="eastAsia"/>
        </w:rPr>
        <w:t>1</w:t>
      </w:r>
      <w:r>
        <w:rPr>
          <w:rFonts w:ascii="Times New Roman" w:hAnsi="Times New Roman"/>
        </w:rPr>
        <w:t>5</w:t>
      </w:r>
      <w:r>
        <w:rPr>
          <w:rFonts w:ascii="Times New Roman" w:hAnsi="Times New Roman" w:hint="eastAsia"/>
        </w:rPr>
        <w:t>名</w:t>
      </w:r>
      <w:r>
        <w:rPr>
          <w:rFonts w:ascii="Times New Roman" w:hAnsi="Times New Roman"/>
        </w:rPr>
        <w:t>博士生和硕士生。</w:t>
      </w:r>
      <w:r>
        <w:rPr>
          <w:rFonts w:ascii="Times New Roman" w:hAnsi="Times New Roman"/>
        </w:rPr>
        <w:t xml:space="preserve"> 5. </w:t>
      </w:r>
      <w:r>
        <w:rPr>
          <w:rFonts w:ascii="Times New Roman" w:hAnsi="Times New Roman"/>
        </w:rPr>
        <w:t>科研平台建设：项目团队建立了热带病研究平台</w:t>
      </w:r>
      <w:r>
        <w:rPr>
          <w:rFonts w:ascii="Times New Roman" w:hAnsi="Times New Roman" w:hint="eastAsia"/>
        </w:rPr>
        <w:t>。</w:t>
      </w:r>
    </w:p>
    <w:p w14:paraId="02983937" w14:textId="77777777" w:rsidR="004D1F5E" w:rsidRDefault="00000000">
      <w:pPr>
        <w:spacing w:line="560" w:lineRule="exact"/>
        <w:rPr>
          <w:rStyle w:val="fontstyle01"/>
          <w:rFonts w:ascii="Times New Roman" w:hAnsi="Times New Roman" w:hint="default"/>
          <w:b/>
        </w:rPr>
      </w:pPr>
      <w:r>
        <w:rPr>
          <w:rStyle w:val="fontstyle01"/>
          <w:rFonts w:ascii="Times New Roman" w:hAnsi="Times New Roman" w:hint="default"/>
          <w:b/>
        </w:rPr>
        <w:t>代表性论文专著目录：</w:t>
      </w:r>
    </w:p>
    <w:tbl>
      <w:tblPr>
        <w:tblW w:w="75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4"/>
        <w:gridCol w:w="2380"/>
        <w:gridCol w:w="993"/>
        <w:gridCol w:w="709"/>
        <w:gridCol w:w="850"/>
        <w:gridCol w:w="825"/>
        <w:gridCol w:w="1276"/>
      </w:tblGrid>
      <w:tr w:rsidR="004D1F5E" w14:paraId="5B9766F9" w14:textId="77777777">
        <w:trPr>
          <w:trHeight w:val="1510"/>
          <w:jc w:val="center"/>
        </w:trPr>
        <w:tc>
          <w:tcPr>
            <w:tcW w:w="564" w:type="dxa"/>
            <w:tcBorders>
              <w:top w:val="single" w:sz="8" w:space="0" w:color="auto"/>
              <w:left w:val="single" w:sz="8" w:space="0" w:color="auto"/>
              <w:bottom w:val="single" w:sz="4" w:space="0" w:color="auto"/>
              <w:right w:val="single" w:sz="4" w:space="0" w:color="auto"/>
            </w:tcBorders>
            <w:vAlign w:val="center"/>
          </w:tcPr>
          <w:p w14:paraId="559E9186"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序号</w:t>
            </w:r>
          </w:p>
        </w:tc>
        <w:tc>
          <w:tcPr>
            <w:tcW w:w="2380" w:type="dxa"/>
            <w:tcBorders>
              <w:top w:val="single" w:sz="8" w:space="0" w:color="auto"/>
              <w:left w:val="single" w:sz="4" w:space="0" w:color="auto"/>
              <w:bottom w:val="single" w:sz="4" w:space="0" w:color="auto"/>
              <w:right w:val="single" w:sz="4" w:space="0" w:color="auto"/>
            </w:tcBorders>
            <w:vAlign w:val="center"/>
          </w:tcPr>
          <w:p w14:paraId="785ED1F4"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论文专著</w:t>
            </w:r>
          </w:p>
          <w:p w14:paraId="7E55483E"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名称/刊名</w:t>
            </w:r>
          </w:p>
          <w:p w14:paraId="495E930A"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/作者</w:t>
            </w:r>
          </w:p>
        </w:tc>
        <w:tc>
          <w:tcPr>
            <w:tcW w:w="993" w:type="dxa"/>
            <w:tcBorders>
              <w:top w:val="single" w:sz="8" w:space="0" w:color="auto"/>
              <w:left w:val="single" w:sz="4" w:space="0" w:color="auto"/>
              <w:bottom w:val="single" w:sz="4" w:space="0" w:color="auto"/>
              <w:right w:val="single" w:sz="4" w:space="0" w:color="auto"/>
            </w:tcBorders>
            <w:vAlign w:val="center"/>
          </w:tcPr>
          <w:p w14:paraId="63B8FF5D"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年卷页码</w:t>
            </w:r>
          </w:p>
          <w:p w14:paraId="28420C0A"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（xx年xx卷</w:t>
            </w:r>
          </w:p>
          <w:p w14:paraId="5799B64D"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xx页）</w:t>
            </w:r>
          </w:p>
        </w:tc>
        <w:tc>
          <w:tcPr>
            <w:tcW w:w="709" w:type="dxa"/>
            <w:tcBorders>
              <w:top w:val="single" w:sz="8" w:space="0" w:color="auto"/>
              <w:left w:val="single" w:sz="4" w:space="0" w:color="auto"/>
              <w:bottom w:val="single" w:sz="4" w:space="0" w:color="auto"/>
              <w:right w:val="single" w:sz="4" w:space="0" w:color="auto"/>
            </w:tcBorders>
            <w:vAlign w:val="center"/>
          </w:tcPr>
          <w:p w14:paraId="1E3868C6"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发表时间（年月 日）</w:t>
            </w:r>
          </w:p>
        </w:tc>
        <w:tc>
          <w:tcPr>
            <w:tcW w:w="850" w:type="dxa"/>
            <w:tcBorders>
              <w:top w:val="single" w:sz="8" w:space="0" w:color="auto"/>
              <w:left w:val="single" w:sz="4" w:space="0" w:color="auto"/>
              <w:bottom w:val="single" w:sz="4" w:space="0" w:color="auto"/>
              <w:right w:val="single" w:sz="4" w:space="0" w:color="auto"/>
            </w:tcBorders>
            <w:vAlign w:val="center"/>
          </w:tcPr>
          <w:p w14:paraId="3E4334B8"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通讯作者（含共同）</w:t>
            </w:r>
          </w:p>
        </w:tc>
        <w:tc>
          <w:tcPr>
            <w:tcW w:w="825" w:type="dxa"/>
            <w:tcBorders>
              <w:top w:val="single" w:sz="8" w:space="0" w:color="auto"/>
              <w:left w:val="single" w:sz="4" w:space="0" w:color="auto"/>
              <w:bottom w:val="single" w:sz="4" w:space="0" w:color="auto"/>
              <w:right w:val="single" w:sz="4" w:space="0" w:color="auto"/>
            </w:tcBorders>
            <w:vAlign w:val="center"/>
          </w:tcPr>
          <w:p w14:paraId="007EAD22"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第一作者（含共同）</w:t>
            </w:r>
          </w:p>
        </w:tc>
        <w:tc>
          <w:tcPr>
            <w:tcW w:w="1276" w:type="dxa"/>
            <w:tcBorders>
              <w:top w:val="single" w:sz="8" w:space="0" w:color="auto"/>
              <w:left w:val="single" w:sz="4" w:space="0" w:color="auto"/>
              <w:bottom w:val="single" w:sz="4" w:space="0" w:color="auto"/>
              <w:right w:val="single" w:sz="4" w:space="0" w:color="auto"/>
            </w:tcBorders>
            <w:vAlign w:val="center"/>
          </w:tcPr>
          <w:p w14:paraId="6E1693FC" w14:textId="77777777" w:rsidR="004D1F5E" w:rsidRDefault="00000000">
            <w:pPr>
              <w:pStyle w:val="a3"/>
              <w:adjustRightInd w:val="0"/>
              <w:spacing w:after="50" w:line="440" w:lineRule="exact"/>
              <w:ind w:firstLineChars="0" w:firstLine="0"/>
              <w:jc w:val="center"/>
              <w:outlineLvl w:val="1"/>
              <w:rPr>
                <w:rFonts w:ascii="宋体" w:hAnsi="宋体" w:hint="eastAsia"/>
                <w:sz w:val="21"/>
                <w:szCs w:val="28"/>
              </w:rPr>
            </w:pPr>
            <w:r>
              <w:rPr>
                <w:rFonts w:ascii="宋体" w:hAnsi="宋体" w:hint="eastAsia"/>
                <w:sz w:val="21"/>
                <w:szCs w:val="28"/>
              </w:rPr>
              <w:t>国内作者</w:t>
            </w:r>
          </w:p>
        </w:tc>
      </w:tr>
      <w:tr w:rsidR="004D1F5E" w14:paraId="196ACFDF" w14:textId="77777777">
        <w:trPr>
          <w:trHeight w:hRule="exact" w:val="5223"/>
          <w:jc w:val="center"/>
        </w:trPr>
        <w:tc>
          <w:tcPr>
            <w:tcW w:w="564" w:type="dxa"/>
            <w:tcBorders>
              <w:top w:val="single" w:sz="4" w:space="0" w:color="auto"/>
              <w:left w:val="single" w:sz="8" w:space="0" w:color="auto"/>
              <w:bottom w:val="single" w:sz="4" w:space="0" w:color="auto"/>
              <w:right w:val="single" w:sz="4" w:space="0" w:color="auto"/>
            </w:tcBorders>
            <w:vAlign w:val="center"/>
          </w:tcPr>
          <w:p w14:paraId="2287FA05" w14:textId="77777777" w:rsidR="004D1F5E" w:rsidRDefault="00000000">
            <w:pPr>
              <w:pStyle w:val="a3"/>
              <w:adjustRightInd w:val="0"/>
              <w:spacing w:after="50" w:line="320" w:lineRule="exact"/>
              <w:ind w:firstLineChars="0" w:firstLine="0"/>
              <w:jc w:val="center"/>
              <w:outlineLvl w:val="1"/>
              <w:rPr>
                <w:rFonts w:ascii="宋体" w:hAnsi="宋体" w:hint="eastAsia"/>
                <w:sz w:val="21"/>
                <w:szCs w:val="28"/>
              </w:rPr>
            </w:pPr>
            <w:r>
              <w:rPr>
                <w:rFonts w:ascii="宋体" w:hAnsi="宋体" w:hint="eastAsia"/>
                <w:sz w:val="21"/>
                <w:szCs w:val="28"/>
              </w:rPr>
              <w:t>1</w:t>
            </w:r>
          </w:p>
        </w:tc>
        <w:tc>
          <w:tcPr>
            <w:tcW w:w="2380" w:type="dxa"/>
            <w:tcBorders>
              <w:top w:val="single" w:sz="4" w:space="0" w:color="auto"/>
              <w:left w:val="single" w:sz="4" w:space="0" w:color="auto"/>
              <w:bottom w:val="single" w:sz="4" w:space="0" w:color="auto"/>
              <w:right w:val="single" w:sz="4" w:space="0" w:color="auto"/>
            </w:tcBorders>
            <w:vAlign w:val="center"/>
          </w:tcPr>
          <w:p w14:paraId="38F8049D" w14:textId="77777777" w:rsidR="004D1F5E" w:rsidRDefault="00000000">
            <w:pPr>
              <w:rPr>
                <w:rFonts w:ascii="宋体" w:hAnsi="宋体" w:cs="宋体" w:hint="eastAsia"/>
                <w:sz w:val="18"/>
                <w:szCs w:val="18"/>
              </w:rPr>
            </w:pPr>
            <w:r>
              <w:rPr>
                <w:rFonts w:ascii="宋体" w:hAnsi="宋体" w:cs="宋体" w:hint="eastAsia"/>
                <w:sz w:val="18"/>
                <w:szCs w:val="18"/>
              </w:rPr>
              <w:t xml:space="preserve"> Comparative proteomics profiling revealed the involvement of GRB2-ROCK2 axis in Lyme neuroborreliosis caused   by </w:t>
            </w:r>
            <w:r>
              <w:rPr>
                <w:rFonts w:ascii="宋体" w:hAnsi="宋体" w:cs="宋体" w:hint="eastAsia"/>
                <w:i/>
                <w:iCs/>
                <w:sz w:val="18"/>
                <w:szCs w:val="18"/>
              </w:rPr>
              <w:t>Borrelia Burgdorferi/</w:t>
            </w:r>
            <w:r>
              <w:rPr>
                <w:rFonts w:ascii="宋体" w:hAnsi="宋体" w:cs="宋体" w:hint="eastAsia"/>
                <w:sz w:val="18"/>
                <w:szCs w:val="18"/>
              </w:rPr>
              <w:t xml:space="preserve">J Cell Mol Med./ Bi Y, Liu J, Ma M, Tao L, Peng Y, Dai X, Ji Z, Bai R, Jian M, Chen T, Luo L, </w:t>
            </w:r>
          </w:p>
          <w:p w14:paraId="6F41BE5D" w14:textId="77777777" w:rsidR="004D1F5E" w:rsidRDefault="00000000">
            <w:pPr>
              <w:rPr>
                <w:rFonts w:ascii="宋体" w:hAnsi="宋体" w:cs="宋体" w:hint="eastAsia"/>
              </w:rPr>
            </w:pPr>
            <w:r>
              <w:rPr>
                <w:rFonts w:ascii="宋体" w:hAnsi="宋体" w:cs="宋体" w:hint="eastAsia"/>
                <w:sz w:val="18"/>
                <w:szCs w:val="18"/>
              </w:rPr>
              <w:t xml:space="preserve">     Wang F, Ding Z, Liu A, Bao F.</w:t>
            </w:r>
          </w:p>
          <w:p w14:paraId="3C37D0F5" w14:textId="77777777" w:rsidR="004D1F5E" w:rsidRDefault="004D1F5E">
            <w:pPr>
              <w:spacing w:line="290" w:lineRule="exact"/>
              <w:jc w:val="left"/>
              <w:rPr>
                <w:rFonts w:ascii="Times New Roman" w:hAnsi="Times New Roman"/>
                <w:sz w:val="15"/>
                <w:szCs w:val="15"/>
              </w:rPr>
            </w:pPr>
          </w:p>
        </w:tc>
        <w:tc>
          <w:tcPr>
            <w:tcW w:w="993" w:type="dxa"/>
            <w:tcBorders>
              <w:top w:val="single" w:sz="4" w:space="0" w:color="auto"/>
              <w:left w:val="single" w:sz="4" w:space="0" w:color="auto"/>
              <w:bottom w:val="single" w:sz="4" w:space="0" w:color="auto"/>
              <w:right w:val="single" w:sz="4" w:space="0" w:color="auto"/>
            </w:tcBorders>
            <w:vAlign w:val="center"/>
          </w:tcPr>
          <w:p w14:paraId="4C8F2589" w14:textId="77777777" w:rsidR="004D1F5E" w:rsidRDefault="00000000">
            <w:pPr>
              <w:rPr>
                <w:rFonts w:ascii="宋体" w:hAnsi="宋体" w:cs="宋体" w:hint="eastAsia"/>
              </w:rPr>
            </w:pPr>
            <w:r>
              <w:rPr>
                <w:rFonts w:ascii="宋体" w:hAnsi="宋体" w:cs="宋体" w:hint="eastAsia"/>
              </w:rPr>
              <w:t xml:space="preserve">2022 Apr; 26(8):2312-2321. </w:t>
            </w:r>
          </w:p>
          <w:p w14:paraId="25D03BA0" w14:textId="77777777" w:rsidR="004D1F5E" w:rsidRDefault="004D1F5E">
            <w:pPr>
              <w:pStyle w:val="a3"/>
              <w:adjustRightInd w:val="0"/>
              <w:spacing w:after="50" w:line="320" w:lineRule="exact"/>
              <w:ind w:firstLineChars="0" w:firstLine="0"/>
              <w:jc w:val="center"/>
              <w:outlineLvl w:val="1"/>
              <w:rPr>
                <w:rFonts w:ascii="宋体" w:hAnsi="宋体" w:hint="eastAsia"/>
                <w:sz w:val="15"/>
                <w:szCs w:val="15"/>
              </w:rPr>
            </w:pPr>
          </w:p>
        </w:tc>
        <w:tc>
          <w:tcPr>
            <w:tcW w:w="709" w:type="dxa"/>
            <w:tcBorders>
              <w:top w:val="single" w:sz="4" w:space="0" w:color="auto"/>
              <w:left w:val="single" w:sz="4" w:space="0" w:color="auto"/>
              <w:bottom w:val="single" w:sz="4" w:space="0" w:color="auto"/>
              <w:right w:val="single" w:sz="4" w:space="0" w:color="auto"/>
            </w:tcBorders>
            <w:vAlign w:val="center"/>
          </w:tcPr>
          <w:p w14:paraId="458198C6"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2022年4月</w:t>
            </w:r>
          </w:p>
        </w:tc>
        <w:tc>
          <w:tcPr>
            <w:tcW w:w="850" w:type="dxa"/>
            <w:tcBorders>
              <w:top w:val="single" w:sz="4" w:space="0" w:color="auto"/>
              <w:left w:val="single" w:sz="4" w:space="0" w:color="auto"/>
              <w:bottom w:val="single" w:sz="4" w:space="0" w:color="auto"/>
              <w:right w:val="single" w:sz="4" w:space="0" w:color="auto"/>
            </w:tcBorders>
            <w:vAlign w:val="center"/>
          </w:tcPr>
          <w:p w14:paraId="12E860D9" w14:textId="77777777" w:rsidR="004D1F5E" w:rsidRDefault="00000000">
            <w:pPr>
              <w:pStyle w:val="a3"/>
              <w:adjustRightInd w:val="0"/>
              <w:spacing w:after="50" w:line="320" w:lineRule="exact"/>
              <w:ind w:firstLineChars="0" w:firstLine="0"/>
              <w:outlineLvl w:val="1"/>
              <w:rPr>
                <w:rFonts w:ascii="宋体" w:hAnsi="宋体" w:hint="eastAsia"/>
                <w:sz w:val="15"/>
                <w:szCs w:val="15"/>
              </w:rPr>
            </w:pPr>
            <w:r>
              <w:rPr>
                <w:rFonts w:ascii="宋体" w:hAnsi="宋体" w:hint="eastAsia"/>
                <w:sz w:val="15"/>
                <w:szCs w:val="15"/>
              </w:rPr>
              <w:t>宝福凯，柳爱华</w:t>
            </w:r>
          </w:p>
        </w:tc>
        <w:tc>
          <w:tcPr>
            <w:tcW w:w="825" w:type="dxa"/>
            <w:tcBorders>
              <w:top w:val="single" w:sz="4" w:space="0" w:color="auto"/>
              <w:left w:val="single" w:sz="4" w:space="0" w:color="auto"/>
              <w:bottom w:val="single" w:sz="4" w:space="0" w:color="auto"/>
              <w:right w:val="single" w:sz="4" w:space="0" w:color="auto"/>
            </w:tcBorders>
            <w:vAlign w:val="center"/>
          </w:tcPr>
          <w:p w14:paraId="1DF75DDB"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Times New Roman" w:hint="eastAsia"/>
                <w:sz w:val="15"/>
                <w:szCs w:val="15"/>
              </w:rPr>
              <w:t>毕芸凤</w:t>
            </w:r>
          </w:p>
        </w:tc>
        <w:tc>
          <w:tcPr>
            <w:tcW w:w="1276" w:type="dxa"/>
            <w:tcBorders>
              <w:top w:val="single" w:sz="4" w:space="0" w:color="auto"/>
              <w:left w:val="single" w:sz="4" w:space="0" w:color="auto"/>
              <w:bottom w:val="single" w:sz="4" w:space="0" w:color="auto"/>
              <w:right w:val="single" w:sz="4" w:space="0" w:color="auto"/>
            </w:tcBorders>
          </w:tcPr>
          <w:p w14:paraId="4A7994D7"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毕芸凤、刘建军、麻明标、陶律延、彭芸、戴熙廷、计震华、白若兰、简苗苗、陈泰桂、罗丽莎、王峰、丁喆、柳爱华、宝福凯</w:t>
            </w:r>
          </w:p>
        </w:tc>
      </w:tr>
      <w:tr w:rsidR="004D1F5E" w14:paraId="4BF08BE1" w14:textId="77777777">
        <w:trPr>
          <w:trHeight w:hRule="exact" w:val="4506"/>
          <w:jc w:val="center"/>
        </w:trPr>
        <w:tc>
          <w:tcPr>
            <w:tcW w:w="564" w:type="dxa"/>
            <w:tcBorders>
              <w:top w:val="single" w:sz="4" w:space="0" w:color="auto"/>
              <w:left w:val="single" w:sz="8" w:space="0" w:color="auto"/>
              <w:bottom w:val="single" w:sz="4" w:space="0" w:color="auto"/>
              <w:right w:val="single" w:sz="4" w:space="0" w:color="auto"/>
            </w:tcBorders>
            <w:vAlign w:val="center"/>
          </w:tcPr>
          <w:p w14:paraId="5B1D0E44" w14:textId="77777777" w:rsidR="004D1F5E" w:rsidRDefault="00000000">
            <w:pPr>
              <w:pStyle w:val="a3"/>
              <w:adjustRightInd w:val="0"/>
              <w:spacing w:after="50" w:line="320" w:lineRule="exact"/>
              <w:ind w:firstLineChars="0" w:firstLine="0"/>
              <w:jc w:val="center"/>
              <w:outlineLvl w:val="1"/>
              <w:rPr>
                <w:rFonts w:ascii="宋体" w:hAnsi="宋体" w:hint="eastAsia"/>
                <w:sz w:val="21"/>
                <w:szCs w:val="28"/>
              </w:rPr>
            </w:pPr>
            <w:r>
              <w:rPr>
                <w:rFonts w:ascii="宋体" w:hAnsi="宋体" w:hint="eastAsia"/>
                <w:sz w:val="21"/>
                <w:szCs w:val="28"/>
              </w:rPr>
              <w:lastRenderedPageBreak/>
              <w:t>2</w:t>
            </w:r>
          </w:p>
        </w:tc>
        <w:tc>
          <w:tcPr>
            <w:tcW w:w="2380" w:type="dxa"/>
            <w:tcBorders>
              <w:top w:val="single" w:sz="4" w:space="0" w:color="auto"/>
              <w:left w:val="single" w:sz="4" w:space="0" w:color="auto"/>
              <w:bottom w:val="single" w:sz="4" w:space="0" w:color="auto"/>
              <w:right w:val="single" w:sz="4" w:space="0" w:color="auto"/>
            </w:tcBorders>
            <w:vAlign w:val="center"/>
          </w:tcPr>
          <w:p w14:paraId="68A7375F" w14:textId="77777777" w:rsidR="004D1F5E" w:rsidRDefault="00000000">
            <w:r>
              <w:rPr>
                <w:rFonts w:ascii="宋体" w:hAnsi="宋体" w:cs="宋体" w:hint="eastAsia"/>
              </w:rPr>
              <w:t xml:space="preserve"> </w:t>
            </w:r>
            <w:r>
              <w:rPr>
                <w:rFonts w:ascii="宋体" w:hAnsi="宋体" w:cs="宋体" w:hint="eastAsia"/>
                <w:sz w:val="18"/>
                <w:szCs w:val="18"/>
              </w:rPr>
              <w:t xml:space="preserve">Salp 15, a multifunctional protein from tick saliva with potential pharmaceutical effects/Frontier in Immunology/Shiyuan Wen, Feng Wang, Yunfeng Bi, Guozhong Zhou, Zhenhua Ji, Miaomiao Jian, Zhe Ding, Lisha Luo, Taigui Chen, Lianbao Li, Manzama-Esso Abi, Aihua Liu*(通讯作者), </w:t>
            </w:r>
            <w:hyperlink r:id="rId4" w:history="1">
              <w:r>
                <w:rPr>
                  <w:rStyle w:val="a9"/>
                  <w:rFonts w:ascii="宋体" w:hAnsi="宋体" w:cs="宋体" w:hint="eastAsia"/>
                  <w:b/>
                  <w:sz w:val="18"/>
                  <w:szCs w:val="18"/>
                </w:rPr>
                <w:t>Fukai Bao*</w:t>
              </w:r>
            </w:hyperlink>
            <w:r>
              <w:rPr>
                <w:rFonts w:ascii="宋体" w:hAnsi="宋体" w:cs="宋体" w:hint="eastAsia"/>
                <w:b/>
                <w:sz w:val="18"/>
                <w:szCs w:val="18"/>
              </w:rPr>
              <w:t>(通讯作者)</w:t>
            </w:r>
          </w:p>
        </w:tc>
        <w:tc>
          <w:tcPr>
            <w:tcW w:w="993" w:type="dxa"/>
            <w:tcBorders>
              <w:top w:val="single" w:sz="4" w:space="0" w:color="auto"/>
              <w:left w:val="single" w:sz="4" w:space="0" w:color="auto"/>
              <w:bottom w:val="single" w:sz="4" w:space="0" w:color="auto"/>
              <w:right w:val="single" w:sz="4" w:space="0" w:color="auto"/>
            </w:tcBorders>
            <w:vAlign w:val="center"/>
          </w:tcPr>
          <w:p w14:paraId="1B3C36C2"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cs="宋体" w:hint="eastAsia"/>
                <w:sz w:val="18"/>
                <w:szCs w:val="18"/>
              </w:rPr>
              <w:t xml:space="preserve"> 2020, 10：3067,  </w:t>
            </w:r>
          </w:p>
          <w:p w14:paraId="7070013E" w14:textId="77777777" w:rsidR="004D1F5E" w:rsidRDefault="004D1F5E">
            <w:pPr>
              <w:pStyle w:val="a3"/>
              <w:adjustRightInd w:val="0"/>
              <w:spacing w:after="50" w:line="320" w:lineRule="exact"/>
              <w:ind w:firstLineChars="0" w:firstLine="0"/>
              <w:jc w:val="center"/>
              <w:outlineLvl w:val="1"/>
              <w:rPr>
                <w:rFonts w:ascii="宋体" w:hAnsi="宋体" w:hint="eastAsia"/>
                <w:sz w:val="15"/>
                <w:szCs w:val="15"/>
              </w:rPr>
            </w:pPr>
          </w:p>
          <w:p w14:paraId="6DF52483" w14:textId="77777777" w:rsidR="004D1F5E" w:rsidRDefault="004D1F5E">
            <w:pPr>
              <w:pStyle w:val="a3"/>
              <w:adjustRightInd w:val="0"/>
              <w:spacing w:after="50" w:line="320" w:lineRule="exact"/>
              <w:ind w:firstLineChars="0" w:firstLine="0"/>
              <w:jc w:val="center"/>
              <w:outlineLvl w:val="1"/>
              <w:rPr>
                <w:rFonts w:ascii="宋体" w:hAnsi="宋体" w:hint="eastAsia"/>
                <w:sz w:val="15"/>
                <w:szCs w:val="15"/>
              </w:rPr>
            </w:pPr>
          </w:p>
        </w:tc>
        <w:tc>
          <w:tcPr>
            <w:tcW w:w="709" w:type="dxa"/>
            <w:tcBorders>
              <w:top w:val="single" w:sz="4" w:space="0" w:color="auto"/>
              <w:left w:val="single" w:sz="4" w:space="0" w:color="auto"/>
              <w:bottom w:val="single" w:sz="4" w:space="0" w:color="auto"/>
              <w:right w:val="single" w:sz="4" w:space="0" w:color="auto"/>
            </w:tcBorders>
            <w:vAlign w:val="center"/>
          </w:tcPr>
          <w:p w14:paraId="05D16A5F"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2020年12月</w:t>
            </w:r>
          </w:p>
        </w:tc>
        <w:tc>
          <w:tcPr>
            <w:tcW w:w="850" w:type="dxa"/>
            <w:tcBorders>
              <w:top w:val="single" w:sz="4" w:space="0" w:color="auto"/>
              <w:left w:val="single" w:sz="4" w:space="0" w:color="auto"/>
              <w:bottom w:val="single" w:sz="4" w:space="0" w:color="auto"/>
              <w:right w:val="single" w:sz="4" w:space="0" w:color="auto"/>
            </w:tcBorders>
            <w:vAlign w:val="center"/>
          </w:tcPr>
          <w:p w14:paraId="495A300B"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宝福凯、柳爱华</w:t>
            </w:r>
          </w:p>
        </w:tc>
        <w:tc>
          <w:tcPr>
            <w:tcW w:w="825" w:type="dxa"/>
            <w:tcBorders>
              <w:top w:val="single" w:sz="4" w:space="0" w:color="auto"/>
              <w:left w:val="single" w:sz="4" w:space="0" w:color="auto"/>
              <w:bottom w:val="single" w:sz="4" w:space="0" w:color="auto"/>
              <w:right w:val="single" w:sz="4" w:space="0" w:color="auto"/>
            </w:tcBorders>
            <w:vAlign w:val="center"/>
          </w:tcPr>
          <w:p w14:paraId="0A184284"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文世媛</w:t>
            </w:r>
          </w:p>
        </w:tc>
        <w:tc>
          <w:tcPr>
            <w:tcW w:w="1276" w:type="dxa"/>
            <w:tcBorders>
              <w:top w:val="single" w:sz="4" w:space="0" w:color="auto"/>
              <w:left w:val="single" w:sz="4" w:space="0" w:color="auto"/>
              <w:bottom w:val="single" w:sz="4" w:space="0" w:color="auto"/>
              <w:right w:val="single" w:sz="4" w:space="0" w:color="auto"/>
            </w:tcBorders>
          </w:tcPr>
          <w:p w14:paraId="23ACD71D"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Times New Roman" w:hint="eastAsia"/>
                <w:sz w:val="15"/>
                <w:szCs w:val="15"/>
              </w:rPr>
              <w:t>文世媛、王峰、毕芸凤、周国忠、计震华、简苗苗、丁喆、罗丽莎、陈泰桂、李连保、柳爱华、宝福凯</w:t>
            </w:r>
          </w:p>
        </w:tc>
      </w:tr>
      <w:tr w:rsidR="004D1F5E" w14:paraId="59F44F21" w14:textId="77777777">
        <w:trPr>
          <w:trHeight w:hRule="exact" w:val="6415"/>
          <w:jc w:val="center"/>
        </w:trPr>
        <w:tc>
          <w:tcPr>
            <w:tcW w:w="564" w:type="dxa"/>
            <w:tcBorders>
              <w:top w:val="single" w:sz="4" w:space="0" w:color="auto"/>
              <w:left w:val="single" w:sz="8" w:space="0" w:color="auto"/>
              <w:bottom w:val="single" w:sz="4" w:space="0" w:color="auto"/>
              <w:right w:val="single" w:sz="4" w:space="0" w:color="auto"/>
            </w:tcBorders>
            <w:vAlign w:val="center"/>
          </w:tcPr>
          <w:p w14:paraId="4F8DC85A" w14:textId="77777777" w:rsidR="004D1F5E" w:rsidRDefault="00000000">
            <w:pPr>
              <w:pStyle w:val="a3"/>
              <w:adjustRightInd w:val="0"/>
              <w:spacing w:after="50" w:line="320" w:lineRule="exact"/>
              <w:ind w:firstLineChars="0" w:firstLine="0"/>
              <w:jc w:val="center"/>
              <w:outlineLvl w:val="1"/>
              <w:rPr>
                <w:rFonts w:ascii="宋体" w:hAnsi="宋体" w:hint="eastAsia"/>
                <w:sz w:val="21"/>
                <w:szCs w:val="28"/>
              </w:rPr>
            </w:pPr>
            <w:r>
              <w:rPr>
                <w:rFonts w:ascii="宋体" w:hAnsi="宋体" w:hint="eastAsia"/>
                <w:sz w:val="21"/>
                <w:szCs w:val="28"/>
              </w:rPr>
              <w:t>3</w:t>
            </w:r>
          </w:p>
        </w:tc>
        <w:tc>
          <w:tcPr>
            <w:tcW w:w="2380" w:type="dxa"/>
            <w:tcBorders>
              <w:top w:val="single" w:sz="4" w:space="0" w:color="auto"/>
              <w:left w:val="single" w:sz="4" w:space="0" w:color="auto"/>
              <w:bottom w:val="single" w:sz="4" w:space="0" w:color="auto"/>
              <w:right w:val="single" w:sz="4" w:space="0" w:color="auto"/>
            </w:tcBorders>
            <w:vAlign w:val="center"/>
          </w:tcPr>
          <w:p w14:paraId="340C2402" w14:textId="77777777" w:rsidR="004D1F5E" w:rsidRDefault="00000000">
            <w:pPr>
              <w:jc w:val="center"/>
              <w:rPr>
                <w:rFonts w:ascii="Times New Roman" w:hAnsi="Times New Roman"/>
                <w:sz w:val="15"/>
                <w:szCs w:val="15"/>
              </w:rPr>
            </w:pPr>
            <w:r>
              <w:rPr>
                <w:rFonts w:ascii="宋体" w:hAnsi="宋体" w:cs="宋体" w:hint="eastAsia"/>
              </w:rPr>
              <w:t xml:space="preserve"> Forty Years of Evidence on the Efficacy and Safety of Oral and Injectable Antibiotics for Treating Lyme Disease of Adults and Children: A Network Meta-Analysis/ Microbiol </w:t>
            </w:r>
            <w:r>
              <w:rPr>
                <w:rFonts w:ascii="宋体" w:hAnsi="宋体" w:cs="宋体" w:hint="eastAsia"/>
                <w:sz w:val="18"/>
                <w:szCs w:val="18"/>
              </w:rPr>
              <w:t xml:space="preserve">Spectrum/Yang J, Wen S, Kong J, Yue P, Cao W, Xu X, Zhang Y, Chen J, Liu M, Fan Y, Luo L, Chen T, Li L, Li B, Dong Y, Luo S, Zhou G, Liu A, Bao F（通讯作者） </w:t>
            </w:r>
          </w:p>
        </w:tc>
        <w:tc>
          <w:tcPr>
            <w:tcW w:w="993" w:type="dxa"/>
            <w:tcBorders>
              <w:top w:val="single" w:sz="4" w:space="0" w:color="auto"/>
              <w:left w:val="single" w:sz="4" w:space="0" w:color="auto"/>
              <w:bottom w:val="single" w:sz="4" w:space="0" w:color="auto"/>
              <w:right w:val="single" w:sz="4" w:space="0" w:color="auto"/>
            </w:tcBorders>
            <w:vAlign w:val="center"/>
          </w:tcPr>
          <w:p w14:paraId="73C5A406" w14:textId="77777777" w:rsidR="004D1F5E" w:rsidRDefault="00000000">
            <w:pPr>
              <w:pStyle w:val="a3"/>
              <w:adjustRightInd w:val="0"/>
              <w:spacing w:after="50" w:line="240" w:lineRule="auto"/>
              <w:ind w:firstLineChars="0" w:firstLine="0"/>
              <w:jc w:val="center"/>
              <w:outlineLvl w:val="1"/>
              <w:rPr>
                <w:rFonts w:ascii="Times New Roman"/>
                <w:sz w:val="15"/>
                <w:szCs w:val="15"/>
              </w:rPr>
            </w:pPr>
            <w:r>
              <w:rPr>
                <w:rFonts w:ascii="宋体" w:hAnsi="宋体" w:cs="宋体" w:hint="eastAsia"/>
              </w:rPr>
              <w:t>2021 Dec 22;9(3):e0076121.</w:t>
            </w:r>
          </w:p>
        </w:tc>
        <w:tc>
          <w:tcPr>
            <w:tcW w:w="709" w:type="dxa"/>
            <w:tcBorders>
              <w:top w:val="single" w:sz="4" w:space="0" w:color="auto"/>
              <w:left w:val="single" w:sz="4" w:space="0" w:color="auto"/>
              <w:bottom w:val="single" w:sz="4" w:space="0" w:color="auto"/>
              <w:right w:val="single" w:sz="4" w:space="0" w:color="auto"/>
            </w:tcBorders>
            <w:vAlign w:val="center"/>
          </w:tcPr>
          <w:p w14:paraId="458A309B" w14:textId="77777777" w:rsidR="004D1F5E" w:rsidRDefault="00000000">
            <w:pPr>
              <w:pStyle w:val="a3"/>
              <w:adjustRightInd w:val="0"/>
              <w:spacing w:after="50" w:line="240" w:lineRule="auto"/>
              <w:ind w:firstLineChars="0" w:firstLine="0"/>
              <w:jc w:val="center"/>
              <w:outlineLvl w:val="1"/>
              <w:rPr>
                <w:rFonts w:ascii="Times New Roman"/>
                <w:sz w:val="15"/>
                <w:szCs w:val="15"/>
              </w:rPr>
            </w:pPr>
            <w:r>
              <w:rPr>
                <w:rFonts w:ascii="Times New Roman"/>
                <w:sz w:val="15"/>
                <w:szCs w:val="15"/>
              </w:rPr>
              <w:t>20</w:t>
            </w:r>
            <w:r>
              <w:rPr>
                <w:rFonts w:ascii="Times New Roman" w:hint="eastAsia"/>
                <w:sz w:val="15"/>
                <w:szCs w:val="15"/>
              </w:rPr>
              <w:t>21</w:t>
            </w:r>
            <w:r>
              <w:rPr>
                <w:rFonts w:ascii="Times New Roman" w:hAnsi="宋体"/>
                <w:sz w:val="15"/>
                <w:szCs w:val="15"/>
              </w:rPr>
              <w:t>年</w:t>
            </w:r>
            <w:r>
              <w:rPr>
                <w:rFonts w:ascii="Times New Roman" w:hint="eastAsia"/>
                <w:sz w:val="15"/>
                <w:szCs w:val="15"/>
              </w:rPr>
              <w:t>12</w:t>
            </w:r>
            <w:r>
              <w:rPr>
                <w:rFonts w:ascii="Times New Roman" w:hAnsi="宋体"/>
                <w:sz w:val="15"/>
                <w:szCs w:val="15"/>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1A79A1A" w14:textId="77777777" w:rsidR="004D1F5E" w:rsidRDefault="00000000">
            <w:pPr>
              <w:pStyle w:val="a3"/>
              <w:adjustRightInd w:val="0"/>
              <w:spacing w:after="50" w:line="240" w:lineRule="auto"/>
              <w:ind w:firstLineChars="0" w:firstLine="0"/>
              <w:jc w:val="center"/>
              <w:outlineLvl w:val="1"/>
              <w:rPr>
                <w:rFonts w:ascii="Times New Roman"/>
                <w:sz w:val="15"/>
                <w:szCs w:val="15"/>
              </w:rPr>
            </w:pPr>
            <w:r>
              <w:rPr>
                <w:rFonts w:ascii="Times New Roman" w:hint="eastAsia"/>
                <w:sz w:val="15"/>
                <w:szCs w:val="15"/>
              </w:rPr>
              <w:t>杨佳儒</w:t>
            </w:r>
          </w:p>
        </w:tc>
        <w:tc>
          <w:tcPr>
            <w:tcW w:w="825" w:type="dxa"/>
            <w:tcBorders>
              <w:top w:val="single" w:sz="4" w:space="0" w:color="auto"/>
              <w:left w:val="single" w:sz="4" w:space="0" w:color="auto"/>
              <w:bottom w:val="single" w:sz="4" w:space="0" w:color="auto"/>
              <w:right w:val="single" w:sz="4" w:space="0" w:color="auto"/>
            </w:tcBorders>
            <w:vAlign w:val="center"/>
          </w:tcPr>
          <w:p w14:paraId="4CF68D6E" w14:textId="77777777" w:rsidR="004D1F5E" w:rsidRDefault="00000000">
            <w:pPr>
              <w:jc w:val="center"/>
              <w:rPr>
                <w:rFonts w:ascii="Times New Roman" w:hAnsi="Times New Roman"/>
                <w:sz w:val="15"/>
                <w:szCs w:val="15"/>
              </w:rPr>
            </w:pPr>
            <w:r>
              <w:rPr>
                <w:rFonts w:ascii="Times New Roman" w:hAnsi="Times New Roman" w:hint="eastAsia"/>
                <w:sz w:val="15"/>
                <w:szCs w:val="15"/>
              </w:rPr>
              <w:t>宝福凯、柳爱华</w:t>
            </w:r>
          </w:p>
          <w:p w14:paraId="19132AB2" w14:textId="77777777" w:rsidR="004D1F5E" w:rsidRDefault="004D1F5E">
            <w:pPr>
              <w:pStyle w:val="a3"/>
              <w:adjustRightInd w:val="0"/>
              <w:spacing w:after="50" w:line="240" w:lineRule="auto"/>
              <w:ind w:firstLineChars="0" w:firstLine="0"/>
              <w:jc w:val="center"/>
              <w:outlineLvl w:val="1"/>
              <w:rPr>
                <w:rFonts w:ascii="Times New Roman"/>
                <w:sz w:val="15"/>
                <w:szCs w:val="15"/>
              </w:rPr>
            </w:pPr>
          </w:p>
        </w:tc>
        <w:tc>
          <w:tcPr>
            <w:tcW w:w="1276" w:type="dxa"/>
            <w:tcBorders>
              <w:top w:val="single" w:sz="4" w:space="0" w:color="auto"/>
              <w:left w:val="single" w:sz="4" w:space="0" w:color="auto"/>
              <w:bottom w:val="single" w:sz="4" w:space="0" w:color="auto"/>
              <w:right w:val="single" w:sz="4" w:space="0" w:color="auto"/>
            </w:tcBorders>
            <w:vAlign w:val="center"/>
          </w:tcPr>
          <w:p w14:paraId="4921B67A" w14:textId="77777777" w:rsidR="004D1F5E" w:rsidRDefault="00000000">
            <w:pPr>
              <w:pStyle w:val="a3"/>
              <w:adjustRightInd w:val="0"/>
              <w:spacing w:after="50" w:line="240" w:lineRule="auto"/>
              <w:ind w:firstLineChars="0" w:firstLine="0"/>
              <w:jc w:val="center"/>
              <w:outlineLvl w:val="1"/>
              <w:rPr>
                <w:rFonts w:ascii="Times New Roman"/>
                <w:sz w:val="15"/>
                <w:szCs w:val="15"/>
              </w:rPr>
            </w:pPr>
            <w:r>
              <w:rPr>
                <w:rFonts w:ascii="Times New Roman" w:hint="eastAsia"/>
                <w:sz w:val="15"/>
                <w:szCs w:val="15"/>
              </w:rPr>
              <w:t>杨佳儒、文世媛、孔璟、岳鹏、曹文静、徐鑫、张宇、陈晶晶、刘玫肖、范雨鑫、罗丽莎、陈泰桂、李连保、李冰雪、董艳、罗宿医、周国忠、柳爱华、宝福凯</w:t>
            </w:r>
          </w:p>
        </w:tc>
      </w:tr>
      <w:tr w:rsidR="004D1F5E" w14:paraId="31FD4233" w14:textId="77777777">
        <w:trPr>
          <w:trHeight w:hRule="exact" w:val="4640"/>
          <w:jc w:val="center"/>
        </w:trPr>
        <w:tc>
          <w:tcPr>
            <w:tcW w:w="564" w:type="dxa"/>
            <w:tcBorders>
              <w:top w:val="single" w:sz="4" w:space="0" w:color="auto"/>
              <w:left w:val="single" w:sz="8" w:space="0" w:color="auto"/>
              <w:bottom w:val="single" w:sz="4" w:space="0" w:color="auto"/>
              <w:right w:val="single" w:sz="4" w:space="0" w:color="auto"/>
            </w:tcBorders>
            <w:vAlign w:val="center"/>
          </w:tcPr>
          <w:p w14:paraId="4A83F01C" w14:textId="77777777" w:rsidR="004D1F5E" w:rsidRDefault="00000000">
            <w:pPr>
              <w:pStyle w:val="a3"/>
              <w:adjustRightInd w:val="0"/>
              <w:spacing w:after="50" w:line="320" w:lineRule="exact"/>
              <w:ind w:firstLineChars="0" w:firstLine="0"/>
              <w:jc w:val="center"/>
              <w:outlineLvl w:val="1"/>
              <w:rPr>
                <w:rFonts w:ascii="宋体" w:hAnsi="宋体" w:hint="eastAsia"/>
                <w:sz w:val="21"/>
                <w:szCs w:val="28"/>
              </w:rPr>
            </w:pPr>
            <w:r>
              <w:rPr>
                <w:rFonts w:ascii="宋体" w:hAnsi="宋体" w:hint="eastAsia"/>
                <w:sz w:val="21"/>
                <w:szCs w:val="28"/>
              </w:rPr>
              <w:lastRenderedPageBreak/>
              <w:t>4</w:t>
            </w:r>
          </w:p>
        </w:tc>
        <w:tc>
          <w:tcPr>
            <w:tcW w:w="2380" w:type="dxa"/>
            <w:tcBorders>
              <w:top w:val="single" w:sz="4" w:space="0" w:color="auto"/>
              <w:left w:val="single" w:sz="4" w:space="0" w:color="auto"/>
              <w:bottom w:val="single" w:sz="4" w:space="0" w:color="auto"/>
              <w:right w:val="single" w:sz="4" w:space="0" w:color="auto"/>
            </w:tcBorders>
          </w:tcPr>
          <w:p w14:paraId="34E548B9" w14:textId="77777777" w:rsidR="004D1F5E" w:rsidRDefault="00000000">
            <w:pPr>
              <w:rPr>
                <w:rFonts w:ascii="宋体" w:hAnsi="宋体" w:cs="宋体" w:hint="eastAsia"/>
                <w:sz w:val="18"/>
                <w:szCs w:val="18"/>
              </w:rPr>
            </w:pPr>
            <w:r>
              <w:rPr>
                <w:rFonts w:ascii="宋体" w:hAnsi="宋体" w:cs="宋体" w:hint="eastAsia"/>
                <w:sz w:val="18"/>
                <w:szCs w:val="18"/>
              </w:rPr>
              <w:t xml:space="preserve">Borrelia burgdorferi basic membrane protein A stimulates murine macrophage to secrete specific chemokines/ International Journal of Medical Sciences/Yun Peng, Zhang Liang, Aihua Liu, Erhua Li, Xiting Dai, Ruolan Bai, Zhenhua </w:t>
            </w:r>
          </w:p>
          <w:p w14:paraId="1B7DE8EC" w14:textId="77777777" w:rsidR="004D1F5E" w:rsidRDefault="00000000">
            <w:pPr>
              <w:spacing w:line="290" w:lineRule="exact"/>
              <w:rPr>
                <w:rFonts w:ascii="Times New Roman" w:hAnsi="Times New Roman"/>
                <w:sz w:val="15"/>
                <w:szCs w:val="15"/>
              </w:rPr>
            </w:pPr>
            <w:r>
              <w:rPr>
                <w:rFonts w:ascii="宋体" w:hAnsi="宋体" w:cs="宋体" w:hint="eastAsia"/>
                <w:sz w:val="18"/>
                <w:szCs w:val="18"/>
              </w:rPr>
              <w:t xml:space="preserve">     Ji, Miaomiao Jian, Mingbiao Ma,  Fukai Bao（通讯作者）, Feng Wang,Yunfeng Bi, Zhe Ding, Abi Manzama-Esso. </w:t>
            </w:r>
            <w:r>
              <w:rPr>
                <w:rFonts w:ascii="宋体" w:hAnsi="宋体" w:cs="宋体" w:hint="eastAsi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BCBCDD7"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cs="宋体" w:hint="eastAsia"/>
              </w:rPr>
              <w:t>2018; 15(13): 1473-1479</w:t>
            </w:r>
          </w:p>
        </w:tc>
        <w:tc>
          <w:tcPr>
            <w:tcW w:w="709" w:type="dxa"/>
            <w:tcBorders>
              <w:top w:val="single" w:sz="4" w:space="0" w:color="auto"/>
              <w:left w:val="single" w:sz="4" w:space="0" w:color="auto"/>
              <w:bottom w:val="single" w:sz="4" w:space="0" w:color="auto"/>
              <w:right w:val="single" w:sz="4" w:space="0" w:color="auto"/>
            </w:tcBorders>
            <w:vAlign w:val="center"/>
          </w:tcPr>
          <w:p w14:paraId="1A034156"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2018年8月</w:t>
            </w:r>
          </w:p>
        </w:tc>
        <w:tc>
          <w:tcPr>
            <w:tcW w:w="850" w:type="dxa"/>
            <w:tcBorders>
              <w:top w:val="single" w:sz="4" w:space="0" w:color="auto"/>
              <w:left w:val="single" w:sz="4" w:space="0" w:color="auto"/>
              <w:bottom w:val="single" w:sz="4" w:space="0" w:color="auto"/>
              <w:right w:val="single" w:sz="4" w:space="0" w:color="auto"/>
            </w:tcBorders>
            <w:vAlign w:val="center"/>
          </w:tcPr>
          <w:p w14:paraId="367CF610"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彭芸、梁张、柳爱华</w:t>
            </w:r>
          </w:p>
        </w:tc>
        <w:tc>
          <w:tcPr>
            <w:tcW w:w="825" w:type="dxa"/>
            <w:tcBorders>
              <w:top w:val="single" w:sz="4" w:space="0" w:color="auto"/>
              <w:left w:val="single" w:sz="4" w:space="0" w:color="auto"/>
              <w:bottom w:val="single" w:sz="4" w:space="0" w:color="auto"/>
              <w:right w:val="single" w:sz="4" w:space="0" w:color="auto"/>
            </w:tcBorders>
            <w:vAlign w:val="center"/>
          </w:tcPr>
          <w:p w14:paraId="3312F785"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宝福凯</w:t>
            </w:r>
          </w:p>
        </w:tc>
        <w:tc>
          <w:tcPr>
            <w:tcW w:w="1276" w:type="dxa"/>
            <w:tcBorders>
              <w:top w:val="single" w:sz="4" w:space="0" w:color="auto"/>
              <w:left w:val="single" w:sz="4" w:space="0" w:color="auto"/>
              <w:bottom w:val="single" w:sz="4" w:space="0" w:color="auto"/>
              <w:right w:val="single" w:sz="4" w:space="0" w:color="auto"/>
            </w:tcBorders>
          </w:tcPr>
          <w:p w14:paraId="42405FB8"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彭芸、梁张、柳爱华、李洱花、戴熙廷、白若兰、</w:t>
            </w:r>
          </w:p>
          <w:p w14:paraId="5F14B676"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Times New Roman" w:hint="eastAsia"/>
                <w:sz w:val="15"/>
                <w:szCs w:val="15"/>
              </w:rPr>
              <w:t>计震华、简苗苗、麻明彪、宝福凯、王峰、毕芸凤、丁喆</w:t>
            </w:r>
          </w:p>
        </w:tc>
      </w:tr>
      <w:tr w:rsidR="004D1F5E" w14:paraId="1CB9FDC7" w14:textId="77777777">
        <w:trPr>
          <w:trHeight w:hRule="exact" w:val="4705"/>
          <w:jc w:val="center"/>
        </w:trPr>
        <w:tc>
          <w:tcPr>
            <w:tcW w:w="564" w:type="dxa"/>
            <w:tcBorders>
              <w:top w:val="single" w:sz="4" w:space="0" w:color="auto"/>
              <w:left w:val="single" w:sz="8" w:space="0" w:color="auto"/>
              <w:bottom w:val="single" w:sz="4" w:space="0" w:color="auto"/>
              <w:right w:val="single" w:sz="4" w:space="0" w:color="auto"/>
            </w:tcBorders>
            <w:vAlign w:val="center"/>
          </w:tcPr>
          <w:p w14:paraId="251E1F44" w14:textId="77777777" w:rsidR="004D1F5E" w:rsidRDefault="00000000">
            <w:pPr>
              <w:pStyle w:val="a3"/>
              <w:adjustRightInd w:val="0"/>
              <w:spacing w:after="50" w:line="320" w:lineRule="exact"/>
              <w:ind w:firstLineChars="0" w:firstLine="0"/>
              <w:jc w:val="center"/>
              <w:outlineLvl w:val="1"/>
              <w:rPr>
                <w:rFonts w:ascii="宋体" w:hAnsi="宋体" w:hint="eastAsia"/>
                <w:sz w:val="21"/>
                <w:szCs w:val="28"/>
              </w:rPr>
            </w:pPr>
            <w:r>
              <w:rPr>
                <w:rFonts w:ascii="宋体" w:hAnsi="宋体" w:hint="eastAsia"/>
                <w:sz w:val="21"/>
                <w:szCs w:val="28"/>
              </w:rPr>
              <w:t>5</w:t>
            </w:r>
          </w:p>
        </w:tc>
        <w:tc>
          <w:tcPr>
            <w:tcW w:w="2380" w:type="dxa"/>
            <w:tcBorders>
              <w:top w:val="single" w:sz="4" w:space="0" w:color="auto"/>
              <w:left w:val="single" w:sz="4" w:space="0" w:color="auto"/>
              <w:bottom w:val="single" w:sz="4" w:space="0" w:color="auto"/>
              <w:right w:val="single" w:sz="4" w:space="0" w:color="auto"/>
            </w:tcBorders>
            <w:vAlign w:val="center"/>
          </w:tcPr>
          <w:p w14:paraId="0709F4CA" w14:textId="77777777" w:rsidR="004D1F5E" w:rsidRDefault="00000000">
            <w:pPr>
              <w:rPr>
                <w:rFonts w:ascii="宋体" w:hAnsi="宋体" w:cs="宋体" w:hint="eastAsia"/>
                <w:sz w:val="18"/>
                <w:szCs w:val="18"/>
              </w:rPr>
            </w:pPr>
            <w:r>
              <w:rPr>
                <w:rFonts w:ascii="宋体" w:hAnsi="宋体" w:cs="宋体" w:hint="eastAsia"/>
                <w:sz w:val="18"/>
                <w:szCs w:val="18"/>
              </w:rPr>
              <w:t xml:space="preserve">Z Borrelia burgdorferi </w:t>
            </w:r>
          </w:p>
          <w:p w14:paraId="69D7159E" w14:textId="77777777" w:rsidR="004D1F5E" w:rsidRDefault="00000000">
            <w:pPr>
              <w:rPr>
                <w:rFonts w:ascii="宋体" w:hAnsi="宋体" w:cs="宋体" w:hint="eastAsia"/>
                <w:sz w:val="18"/>
                <w:szCs w:val="18"/>
              </w:rPr>
            </w:pPr>
            <w:r>
              <w:rPr>
                <w:rFonts w:ascii="宋体" w:hAnsi="宋体" w:cs="宋体" w:hint="eastAsia"/>
                <w:sz w:val="18"/>
                <w:szCs w:val="18"/>
              </w:rPr>
              <w:t xml:space="preserve"> basic membrane protein A initiates proinflammatory chemokine storm in </w:t>
            </w:r>
          </w:p>
          <w:p w14:paraId="528AC044" w14:textId="77777777" w:rsidR="004D1F5E" w:rsidRDefault="00000000">
            <w:pPr>
              <w:ind w:firstLine="420"/>
              <w:rPr>
                <w:rFonts w:ascii="宋体" w:hAnsi="宋体" w:cs="宋体" w:hint="eastAsia"/>
                <w:sz w:val="18"/>
                <w:szCs w:val="18"/>
              </w:rPr>
            </w:pPr>
            <w:r>
              <w:rPr>
                <w:rFonts w:ascii="宋体" w:hAnsi="宋体" w:cs="宋体" w:hint="eastAsia"/>
                <w:sz w:val="18"/>
                <w:szCs w:val="18"/>
              </w:rPr>
              <w:t>THP 1-derived macrophages via the receptors TLR1 and TLR2/ Biomedicine &amp; Pharmacotherapy/ Zhao H, Dai X, Han X, Liu A（柳爱华）, Bao F（宝福凯，通讯作者）, Bai R, Ji Z, Jian M, Ding Z, Abi ME, Chen T, Luo L, Ma M, Tao L.</w:t>
            </w:r>
          </w:p>
          <w:p w14:paraId="395D4C5F" w14:textId="77777777" w:rsidR="004D1F5E" w:rsidRDefault="004D1F5E">
            <w:pPr>
              <w:spacing w:line="290" w:lineRule="exact"/>
              <w:rPr>
                <w:rFonts w:ascii="Times New Roman" w:hAnsi="Times New Roman"/>
                <w:sz w:val="15"/>
                <w:szCs w:val="15"/>
              </w:rPr>
            </w:pPr>
          </w:p>
        </w:tc>
        <w:tc>
          <w:tcPr>
            <w:tcW w:w="993" w:type="dxa"/>
            <w:tcBorders>
              <w:top w:val="single" w:sz="4" w:space="0" w:color="auto"/>
              <w:left w:val="single" w:sz="4" w:space="0" w:color="auto"/>
              <w:bottom w:val="single" w:sz="4" w:space="0" w:color="auto"/>
              <w:right w:val="single" w:sz="4" w:space="0" w:color="auto"/>
            </w:tcBorders>
            <w:vAlign w:val="center"/>
          </w:tcPr>
          <w:p w14:paraId="4D4069DE" w14:textId="77777777" w:rsidR="004D1F5E" w:rsidRDefault="00000000">
            <w:pPr>
              <w:pStyle w:val="a3"/>
              <w:adjustRightInd w:val="0"/>
              <w:spacing w:after="50" w:line="320" w:lineRule="exact"/>
              <w:ind w:firstLineChars="0" w:firstLine="0"/>
              <w:jc w:val="center"/>
              <w:outlineLvl w:val="1"/>
              <w:rPr>
                <w:rFonts w:ascii="宋体" w:hAnsi="宋体" w:cs="宋体" w:hint="eastAsia"/>
              </w:rPr>
            </w:pPr>
            <w:r>
              <w:rPr>
                <w:rFonts w:ascii="宋体" w:hAnsi="宋体" w:cs="宋体" w:hint="eastAsia"/>
              </w:rPr>
              <w:t>2019;</w:t>
            </w:r>
          </w:p>
          <w:p w14:paraId="336E4CFE"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cs="宋体" w:hint="eastAsia"/>
              </w:rPr>
              <w:t>115:108874.</w:t>
            </w:r>
          </w:p>
        </w:tc>
        <w:tc>
          <w:tcPr>
            <w:tcW w:w="709" w:type="dxa"/>
            <w:tcBorders>
              <w:top w:val="single" w:sz="4" w:space="0" w:color="auto"/>
              <w:left w:val="single" w:sz="4" w:space="0" w:color="auto"/>
              <w:bottom w:val="single" w:sz="4" w:space="0" w:color="auto"/>
              <w:right w:val="single" w:sz="4" w:space="0" w:color="auto"/>
            </w:tcBorders>
            <w:vAlign w:val="center"/>
          </w:tcPr>
          <w:p w14:paraId="280EEF4A"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cs="宋体" w:hint="eastAsia"/>
              </w:rPr>
              <w:t xml:space="preserve"> 2019 年7月 </w:t>
            </w:r>
          </w:p>
        </w:tc>
        <w:tc>
          <w:tcPr>
            <w:tcW w:w="850" w:type="dxa"/>
            <w:tcBorders>
              <w:top w:val="single" w:sz="4" w:space="0" w:color="auto"/>
              <w:left w:val="single" w:sz="4" w:space="0" w:color="auto"/>
              <w:bottom w:val="single" w:sz="4" w:space="0" w:color="auto"/>
              <w:right w:val="single" w:sz="4" w:space="0" w:color="auto"/>
            </w:tcBorders>
            <w:vAlign w:val="center"/>
          </w:tcPr>
          <w:p w14:paraId="5EDA858A"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赵华</w:t>
            </w:r>
          </w:p>
        </w:tc>
        <w:tc>
          <w:tcPr>
            <w:tcW w:w="825" w:type="dxa"/>
            <w:tcBorders>
              <w:top w:val="single" w:sz="4" w:space="0" w:color="auto"/>
              <w:left w:val="single" w:sz="4" w:space="0" w:color="auto"/>
              <w:bottom w:val="single" w:sz="4" w:space="0" w:color="auto"/>
              <w:right w:val="single" w:sz="4" w:space="0" w:color="auto"/>
            </w:tcBorders>
            <w:vAlign w:val="center"/>
          </w:tcPr>
          <w:p w14:paraId="135870DC"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Times New Roman" w:hint="eastAsia"/>
                <w:sz w:val="15"/>
                <w:szCs w:val="15"/>
              </w:rPr>
              <w:t>宝福凯、柳爱华</w:t>
            </w:r>
          </w:p>
        </w:tc>
        <w:tc>
          <w:tcPr>
            <w:tcW w:w="1276" w:type="dxa"/>
            <w:tcBorders>
              <w:top w:val="single" w:sz="4" w:space="0" w:color="auto"/>
              <w:left w:val="single" w:sz="4" w:space="0" w:color="auto"/>
              <w:bottom w:val="single" w:sz="4" w:space="0" w:color="auto"/>
              <w:right w:val="single" w:sz="4" w:space="0" w:color="auto"/>
            </w:tcBorders>
          </w:tcPr>
          <w:p w14:paraId="25F4E078"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宋体" w:hAnsi="宋体" w:hint="eastAsia"/>
                <w:sz w:val="15"/>
                <w:szCs w:val="15"/>
              </w:rPr>
              <w:t>赵华、戴熙廷、韩欣霖、柳爱华、宝福凯、白若兰、</w:t>
            </w:r>
            <w:r>
              <w:rPr>
                <w:rFonts w:ascii="Times New Roman" w:hint="eastAsia"/>
                <w:sz w:val="15"/>
                <w:szCs w:val="15"/>
              </w:rPr>
              <w:t>计震华、简苗苗、</w:t>
            </w:r>
          </w:p>
          <w:p w14:paraId="57A131E5"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丁喆、陈泰桂、罗丽莎、</w:t>
            </w:r>
          </w:p>
          <w:p w14:paraId="52F61F5D"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Times New Roman" w:hint="eastAsia"/>
                <w:sz w:val="15"/>
                <w:szCs w:val="15"/>
              </w:rPr>
              <w:t>麻明彪、陶律延</w:t>
            </w:r>
          </w:p>
        </w:tc>
      </w:tr>
      <w:tr w:rsidR="004D1F5E" w14:paraId="0B99DF62" w14:textId="77777777">
        <w:trPr>
          <w:trHeight w:hRule="exact" w:val="4531"/>
          <w:jc w:val="center"/>
        </w:trPr>
        <w:tc>
          <w:tcPr>
            <w:tcW w:w="564" w:type="dxa"/>
            <w:tcBorders>
              <w:top w:val="single" w:sz="4" w:space="0" w:color="auto"/>
              <w:left w:val="single" w:sz="8" w:space="0" w:color="auto"/>
              <w:bottom w:val="single" w:sz="4" w:space="0" w:color="auto"/>
              <w:right w:val="single" w:sz="4" w:space="0" w:color="auto"/>
            </w:tcBorders>
            <w:vAlign w:val="center"/>
          </w:tcPr>
          <w:p w14:paraId="2D400F74" w14:textId="77777777" w:rsidR="004D1F5E" w:rsidRDefault="00000000">
            <w:pPr>
              <w:pStyle w:val="a3"/>
              <w:adjustRightInd w:val="0"/>
              <w:spacing w:after="50" w:line="320" w:lineRule="exact"/>
              <w:ind w:firstLineChars="0" w:firstLine="0"/>
              <w:jc w:val="center"/>
              <w:outlineLvl w:val="1"/>
              <w:rPr>
                <w:rFonts w:ascii="宋体" w:hAnsi="宋体" w:hint="eastAsia"/>
                <w:sz w:val="21"/>
                <w:szCs w:val="28"/>
              </w:rPr>
            </w:pPr>
            <w:r>
              <w:rPr>
                <w:rFonts w:ascii="宋体" w:hAnsi="宋体" w:hint="eastAsia"/>
                <w:sz w:val="21"/>
                <w:szCs w:val="28"/>
              </w:rPr>
              <w:t>6</w:t>
            </w:r>
          </w:p>
        </w:tc>
        <w:tc>
          <w:tcPr>
            <w:tcW w:w="2380" w:type="dxa"/>
            <w:tcBorders>
              <w:top w:val="single" w:sz="4" w:space="0" w:color="auto"/>
              <w:left w:val="single" w:sz="4" w:space="0" w:color="auto"/>
              <w:bottom w:val="single" w:sz="4" w:space="0" w:color="auto"/>
              <w:right w:val="single" w:sz="4" w:space="0" w:color="auto"/>
            </w:tcBorders>
          </w:tcPr>
          <w:p w14:paraId="2876CA81" w14:textId="77777777" w:rsidR="004D1F5E" w:rsidRDefault="00000000">
            <w:pPr>
              <w:rPr>
                <w:rFonts w:ascii="宋体" w:hAnsi="宋体" w:cs="宋体" w:hint="eastAsia"/>
                <w:sz w:val="18"/>
                <w:szCs w:val="18"/>
              </w:rPr>
            </w:pPr>
            <w:r>
              <w:rPr>
                <w:rFonts w:ascii="宋体" w:hAnsi="宋体" w:cs="宋体" w:hint="eastAsia"/>
                <w:sz w:val="18"/>
                <w:szCs w:val="18"/>
              </w:rPr>
              <w:t xml:space="preserve">Global seroprevalence and </w:t>
            </w:r>
          </w:p>
          <w:p w14:paraId="4328759C" w14:textId="77777777" w:rsidR="004D1F5E" w:rsidRDefault="00000000">
            <w:pPr>
              <w:rPr>
                <w:rFonts w:ascii="宋体" w:hAnsi="宋体" w:cs="宋体" w:hint="eastAsia"/>
                <w:sz w:val="18"/>
                <w:szCs w:val="18"/>
              </w:rPr>
            </w:pPr>
            <w:r>
              <w:rPr>
                <w:rFonts w:ascii="宋体" w:hAnsi="宋体" w:cs="宋体" w:hint="eastAsia"/>
                <w:sz w:val="18"/>
                <w:szCs w:val="18"/>
              </w:rPr>
              <w:t xml:space="preserve">     sociodemographic characteristics of</w:t>
            </w:r>
            <w:r>
              <w:rPr>
                <w:rFonts w:ascii="宋体" w:hAnsi="宋体" w:cs="宋体" w:hint="eastAsia"/>
                <w:i/>
                <w:sz w:val="18"/>
                <w:szCs w:val="18"/>
              </w:rPr>
              <w:t xml:space="preserve"> Borrelia burgdorferi</w:t>
            </w:r>
            <w:r>
              <w:rPr>
                <w:rFonts w:ascii="宋体" w:hAnsi="宋体" w:cs="宋体" w:hint="eastAsia"/>
                <w:sz w:val="18"/>
                <w:szCs w:val="18"/>
              </w:rPr>
              <w:t xml:space="preserve"> sensu lato in human </w:t>
            </w:r>
          </w:p>
          <w:p w14:paraId="1ECA3F53" w14:textId="77777777" w:rsidR="004D1F5E" w:rsidRDefault="00000000">
            <w:pPr>
              <w:rPr>
                <w:rFonts w:ascii="宋体" w:hAnsi="宋体" w:cs="宋体" w:hint="eastAsia"/>
                <w:sz w:val="18"/>
                <w:szCs w:val="18"/>
              </w:rPr>
            </w:pPr>
            <w:r>
              <w:rPr>
                <w:rFonts w:ascii="宋体" w:hAnsi="宋体" w:cs="宋体" w:hint="eastAsia"/>
                <w:sz w:val="18"/>
                <w:szCs w:val="18"/>
              </w:rPr>
              <w:t xml:space="preserve">     populations: a systematic review and meta-analysis/BMJ Glob Health/ Dong Y, Zhou G, Cao W, Xu X, Zhang Y, Ji Z, Yang J, Chen J, Liu M, Fan Y,  Kong J, Wen S, Li B, Yue P, Liu A, </w:t>
            </w:r>
          </w:p>
          <w:p w14:paraId="6C58849E" w14:textId="77777777" w:rsidR="004D1F5E" w:rsidRDefault="00000000">
            <w:pPr>
              <w:rPr>
                <w:rFonts w:ascii="Times New Roman" w:hAnsi="Times New Roman"/>
                <w:sz w:val="15"/>
                <w:szCs w:val="15"/>
              </w:rPr>
            </w:pPr>
            <w:r>
              <w:rPr>
                <w:rFonts w:ascii="宋体" w:hAnsi="宋体" w:cs="宋体" w:hint="eastAsia"/>
                <w:sz w:val="18"/>
                <w:szCs w:val="18"/>
              </w:rPr>
              <w:t>Bao F</w:t>
            </w:r>
          </w:p>
        </w:tc>
        <w:tc>
          <w:tcPr>
            <w:tcW w:w="993" w:type="dxa"/>
            <w:tcBorders>
              <w:top w:val="single" w:sz="4" w:space="0" w:color="auto"/>
              <w:left w:val="single" w:sz="4" w:space="0" w:color="auto"/>
              <w:bottom w:val="single" w:sz="4" w:space="0" w:color="auto"/>
              <w:right w:val="single" w:sz="4" w:space="0" w:color="auto"/>
            </w:tcBorders>
            <w:vAlign w:val="center"/>
          </w:tcPr>
          <w:p w14:paraId="429E1518" w14:textId="77777777" w:rsidR="004D1F5E" w:rsidRDefault="00000000">
            <w:pPr>
              <w:rPr>
                <w:rFonts w:ascii="宋体" w:hAnsi="宋体" w:cs="宋体" w:hint="eastAsia"/>
              </w:rPr>
            </w:pPr>
            <w:r>
              <w:rPr>
                <w:rFonts w:ascii="宋体" w:hAnsi="宋体" w:cs="宋体" w:hint="eastAsia"/>
              </w:rPr>
              <w:t xml:space="preserve"> 2022 </w:t>
            </w:r>
          </w:p>
          <w:p w14:paraId="51F55B75"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cs="宋体" w:hint="eastAsia"/>
              </w:rPr>
              <w:t xml:space="preserve">     Jun;7(6):e007744.</w:t>
            </w:r>
          </w:p>
        </w:tc>
        <w:tc>
          <w:tcPr>
            <w:tcW w:w="709" w:type="dxa"/>
            <w:tcBorders>
              <w:top w:val="single" w:sz="4" w:space="0" w:color="auto"/>
              <w:left w:val="single" w:sz="4" w:space="0" w:color="auto"/>
              <w:bottom w:val="single" w:sz="4" w:space="0" w:color="auto"/>
              <w:right w:val="single" w:sz="4" w:space="0" w:color="auto"/>
            </w:tcBorders>
            <w:vAlign w:val="center"/>
          </w:tcPr>
          <w:p w14:paraId="57117080"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2022年6月</w:t>
            </w:r>
          </w:p>
        </w:tc>
        <w:tc>
          <w:tcPr>
            <w:tcW w:w="850" w:type="dxa"/>
            <w:tcBorders>
              <w:top w:val="single" w:sz="4" w:space="0" w:color="auto"/>
              <w:left w:val="single" w:sz="4" w:space="0" w:color="auto"/>
              <w:bottom w:val="single" w:sz="4" w:space="0" w:color="auto"/>
              <w:right w:val="single" w:sz="4" w:space="0" w:color="auto"/>
            </w:tcBorders>
            <w:vAlign w:val="center"/>
          </w:tcPr>
          <w:p w14:paraId="20E2940D"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董艳</w:t>
            </w:r>
          </w:p>
        </w:tc>
        <w:tc>
          <w:tcPr>
            <w:tcW w:w="825" w:type="dxa"/>
            <w:tcBorders>
              <w:top w:val="single" w:sz="4" w:space="0" w:color="auto"/>
              <w:left w:val="single" w:sz="4" w:space="0" w:color="auto"/>
              <w:bottom w:val="single" w:sz="4" w:space="0" w:color="auto"/>
              <w:right w:val="single" w:sz="4" w:space="0" w:color="auto"/>
            </w:tcBorders>
            <w:vAlign w:val="center"/>
          </w:tcPr>
          <w:p w14:paraId="430544D3"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宝福凯、柳爱华</w:t>
            </w:r>
          </w:p>
        </w:tc>
        <w:tc>
          <w:tcPr>
            <w:tcW w:w="1276" w:type="dxa"/>
            <w:tcBorders>
              <w:top w:val="single" w:sz="4" w:space="0" w:color="auto"/>
              <w:left w:val="single" w:sz="4" w:space="0" w:color="auto"/>
              <w:bottom w:val="single" w:sz="4" w:space="0" w:color="auto"/>
              <w:right w:val="single" w:sz="4" w:space="0" w:color="auto"/>
            </w:tcBorders>
            <w:vAlign w:val="center"/>
          </w:tcPr>
          <w:p w14:paraId="6F120734"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董艳、周国忠、曹文静、徐鑫、张宇、计震华、杨佳儒、陈晶晶、</w:t>
            </w:r>
          </w:p>
          <w:p w14:paraId="4B6354BD"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刘玫肖、范雨鑫、</w:t>
            </w:r>
          </w:p>
          <w:p w14:paraId="12BE316B"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孔璟、文世媛、李冰雪、</w:t>
            </w:r>
          </w:p>
          <w:p w14:paraId="4CCC720B"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Times New Roman" w:hint="eastAsia"/>
                <w:sz w:val="15"/>
                <w:szCs w:val="15"/>
              </w:rPr>
              <w:t>岳鹏、柳爱华、宝福凯</w:t>
            </w:r>
          </w:p>
        </w:tc>
      </w:tr>
      <w:tr w:rsidR="004D1F5E" w14:paraId="166D33A2" w14:textId="77777777">
        <w:trPr>
          <w:trHeight w:hRule="exact" w:val="6510"/>
          <w:jc w:val="center"/>
        </w:trPr>
        <w:tc>
          <w:tcPr>
            <w:tcW w:w="564" w:type="dxa"/>
            <w:tcBorders>
              <w:top w:val="single" w:sz="4" w:space="0" w:color="auto"/>
              <w:left w:val="single" w:sz="8" w:space="0" w:color="auto"/>
              <w:bottom w:val="single" w:sz="4" w:space="0" w:color="auto"/>
              <w:right w:val="single" w:sz="4" w:space="0" w:color="auto"/>
            </w:tcBorders>
            <w:vAlign w:val="center"/>
          </w:tcPr>
          <w:p w14:paraId="4AD8A17B" w14:textId="77777777" w:rsidR="004D1F5E" w:rsidRDefault="00000000">
            <w:pPr>
              <w:pStyle w:val="a3"/>
              <w:adjustRightInd w:val="0"/>
              <w:spacing w:after="50" w:line="320" w:lineRule="exact"/>
              <w:ind w:firstLineChars="0" w:firstLine="0"/>
              <w:jc w:val="center"/>
              <w:outlineLvl w:val="1"/>
              <w:rPr>
                <w:rFonts w:ascii="宋体" w:hAnsi="宋体" w:hint="eastAsia"/>
                <w:sz w:val="21"/>
                <w:szCs w:val="28"/>
              </w:rPr>
            </w:pPr>
            <w:r>
              <w:rPr>
                <w:rFonts w:ascii="宋体" w:hAnsi="宋体" w:hint="eastAsia"/>
                <w:sz w:val="21"/>
                <w:szCs w:val="28"/>
              </w:rPr>
              <w:lastRenderedPageBreak/>
              <w:t>7</w:t>
            </w:r>
          </w:p>
        </w:tc>
        <w:tc>
          <w:tcPr>
            <w:tcW w:w="2380" w:type="dxa"/>
            <w:tcBorders>
              <w:top w:val="single" w:sz="4" w:space="0" w:color="auto"/>
              <w:left w:val="single" w:sz="4" w:space="0" w:color="auto"/>
              <w:bottom w:val="single" w:sz="4" w:space="0" w:color="auto"/>
              <w:right w:val="single" w:sz="4" w:space="0" w:color="auto"/>
            </w:tcBorders>
          </w:tcPr>
          <w:p w14:paraId="41E3152B" w14:textId="77777777" w:rsidR="004D1F5E" w:rsidRDefault="00000000">
            <w:pPr>
              <w:spacing w:line="290" w:lineRule="exact"/>
              <w:rPr>
                <w:rFonts w:ascii="Times New Roman" w:hAnsi="Times New Roman"/>
                <w:sz w:val="15"/>
                <w:szCs w:val="15"/>
              </w:rPr>
            </w:pPr>
            <w:r>
              <w:rPr>
                <w:rFonts w:ascii="Times New Roman" w:hAnsi="Times New Roman"/>
                <w:sz w:val="15"/>
                <w:szCs w:val="15"/>
              </w:rPr>
              <w:t xml:space="preserve"> </w:t>
            </w:r>
            <w:r>
              <w:rPr>
                <w:rFonts w:ascii="宋体" w:hAnsi="宋体" w:cs="宋体" w:hint="eastAsia"/>
                <w:sz w:val="18"/>
                <w:szCs w:val="18"/>
              </w:rPr>
              <w:t xml:space="preserve"> Isoforskolin and Cucurbitacin IIa promote the expression of anti-inflammatory regulatory factor SIGIRR in human macrophages stimulated with Borrelia burgdorferi basic membrane protein A/ International Immunopharmacology/Yun Peng#, Taigui Chen#, Lisha Luo#, Lianbao Li , Wenjing Cao, Xin Xu, Yu Zhang, Peng Yue, Xiting Dai, Zhenhua Ji, Miaomiao Jian, Ruolan Bai, Zhe Ding, Feng Wang, Shiyuan Wen, Guozhong Zhou, Jing Kong, Suyi Luo, Aihua Liu*, Fukai Bao*（通讯作者）.</w:t>
            </w:r>
          </w:p>
        </w:tc>
        <w:tc>
          <w:tcPr>
            <w:tcW w:w="993" w:type="dxa"/>
            <w:tcBorders>
              <w:top w:val="single" w:sz="4" w:space="0" w:color="auto"/>
              <w:left w:val="single" w:sz="4" w:space="0" w:color="auto"/>
              <w:bottom w:val="single" w:sz="4" w:space="0" w:color="auto"/>
              <w:right w:val="single" w:sz="4" w:space="0" w:color="auto"/>
            </w:tcBorders>
            <w:vAlign w:val="center"/>
          </w:tcPr>
          <w:p w14:paraId="4183DC5C" w14:textId="77777777" w:rsidR="004D1F5E" w:rsidRDefault="004D1F5E">
            <w:pPr>
              <w:spacing w:line="290" w:lineRule="exact"/>
              <w:rPr>
                <w:rFonts w:ascii="Times New Roman" w:hAnsi="Times New Roman"/>
                <w:sz w:val="15"/>
                <w:szCs w:val="15"/>
              </w:rPr>
            </w:pPr>
          </w:p>
          <w:p w14:paraId="50A43B2D"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cs="宋体" w:hint="eastAsia"/>
                <w:sz w:val="18"/>
                <w:szCs w:val="18"/>
              </w:rPr>
              <w:t>2020, 88:106914。</w:t>
            </w:r>
          </w:p>
        </w:tc>
        <w:tc>
          <w:tcPr>
            <w:tcW w:w="709" w:type="dxa"/>
            <w:tcBorders>
              <w:top w:val="single" w:sz="4" w:space="0" w:color="auto"/>
              <w:left w:val="single" w:sz="4" w:space="0" w:color="auto"/>
              <w:bottom w:val="single" w:sz="4" w:space="0" w:color="auto"/>
              <w:right w:val="single" w:sz="4" w:space="0" w:color="auto"/>
            </w:tcBorders>
            <w:vAlign w:val="center"/>
          </w:tcPr>
          <w:p w14:paraId="63A955C0"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2019年4月</w:t>
            </w:r>
          </w:p>
        </w:tc>
        <w:tc>
          <w:tcPr>
            <w:tcW w:w="850" w:type="dxa"/>
            <w:tcBorders>
              <w:top w:val="single" w:sz="4" w:space="0" w:color="auto"/>
              <w:left w:val="single" w:sz="4" w:space="0" w:color="auto"/>
              <w:bottom w:val="single" w:sz="4" w:space="0" w:color="auto"/>
              <w:right w:val="single" w:sz="4" w:space="0" w:color="auto"/>
            </w:tcBorders>
            <w:vAlign w:val="center"/>
          </w:tcPr>
          <w:p w14:paraId="5CB95640"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彭芸、</w:t>
            </w:r>
          </w:p>
          <w:p w14:paraId="0855E02A"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陈泰桂、罗丽莎</w:t>
            </w:r>
          </w:p>
        </w:tc>
        <w:tc>
          <w:tcPr>
            <w:tcW w:w="825" w:type="dxa"/>
            <w:tcBorders>
              <w:top w:val="single" w:sz="4" w:space="0" w:color="auto"/>
              <w:left w:val="single" w:sz="4" w:space="0" w:color="auto"/>
              <w:bottom w:val="single" w:sz="4" w:space="0" w:color="auto"/>
              <w:right w:val="single" w:sz="4" w:space="0" w:color="auto"/>
            </w:tcBorders>
            <w:vAlign w:val="center"/>
          </w:tcPr>
          <w:p w14:paraId="1067A698"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Times New Roman" w:hint="eastAsia"/>
                <w:sz w:val="15"/>
                <w:szCs w:val="15"/>
              </w:rPr>
              <w:t>宝福凯、柳爱华</w:t>
            </w:r>
          </w:p>
        </w:tc>
        <w:tc>
          <w:tcPr>
            <w:tcW w:w="1276" w:type="dxa"/>
            <w:tcBorders>
              <w:top w:val="single" w:sz="4" w:space="0" w:color="auto"/>
              <w:left w:val="single" w:sz="4" w:space="0" w:color="auto"/>
              <w:bottom w:val="single" w:sz="4" w:space="0" w:color="auto"/>
              <w:right w:val="single" w:sz="4" w:space="0" w:color="auto"/>
            </w:tcBorders>
          </w:tcPr>
          <w:p w14:paraId="1A455D32"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彭芸、陈泰桂、罗丽莎、李连保、</w:t>
            </w:r>
          </w:p>
          <w:p w14:paraId="38942DFC"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曹文静、徐鑫、张宇、岳鹏、戴熙廷、计震华、</w:t>
            </w:r>
          </w:p>
          <w:p w14:paraId="71C6A556"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简苗苗、白若兰、丁喆、王峰、文世媛、周国忠、孔璟、罗宿医、柳爱华、宝福凯</w:t>
            </w:r>
          </w:p>
          <w:p w14:paraId="6CD97211" w14:textId="77777777" w:rsidR="004D1F5E" w:rsidRDefault="004D1F5E">
            <w:pPr>
              <w:pStyle w:val="a3"/>
              <w:adjustRightInd w:val="0"/>
              <w:spacing w:after="50" w:line="320" w:lineRule="exact"/>
              <w:ind w:firstLineChars="0" w:firstLine="0"/>
              <w:jc w:val="center"/>
              <w:outlineLvl w:val="1"/>
              <w:rPr>
                <w:rFonts w:ascii="Times New Roman"/>
                <w:sz w:val="15"/>
                <w:szCs w:val="15"/>
              </w:rPr>
            </w:pPr>
          </w:p>
          <w:p w14:paraId="276C6760" w14:textId="77777777" w:rsidR="004D1F5E" w:rsidRDefault="004D1F5E">
            <w:pPr>
              <w:pStyle w:val="a3"/>
              <w:adjustRightInd w:val="0"/>
              <w:spacing w:after="50" w:line="320" w:lineRule="exact"/>
              <w:ind w:firstLineChars="0" w:firstLine="0"/>
              <w:jc w:val="center"/>
              <w:outlineLvl w:val="1"/>
              <w:rPr>
                <w:rFonts w:ascii="宋体" w:hAnsi="宋体" w:hint="eastAsia"/>
                <w:sz w:val="15"/>
                <w:szCs w:val="15"/>
              </w:rPr>
            </w:pPr>
          </w:p>
        </w:tc>
      </w:tr>
      <w:tr w:rsidR="004D1F5E" w14:paraId="5F7B99E5" w14:textId="77777777">
        <w:trPr>
          <w:trHeight w:hRule="exact" w:val="6431"/>
          <w:jc w:val="center"/>
        </w:trPr>
        <w:tc>
          <w:tcPr>
            <w:tcW w:w="564" w:type="dxa"/>
            <w:tcBorders>
              <w:top w:val="single" w:sz="4" w:space="0" w:color="auto"/>
              <w:left w:val="single" w:sz="8" w:space="0" w:color="auto"/>
              <w:bottom w:val="single" w:sz="4" w:space="0" w:color="auto"/>
              <w:right w:val="single" w:sz="4" w:space="0" w:color="auto"/>
            </w:tcBorders>
            <w:vAlign w:val="center"/>
          </w:tcPr>
          <w:p w14:paraId="4DC6E470"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8</w:t>
            </w:r>
          </w:p>
        </w:tc>
        <w:tc>
          <w:tcPr>
            <w:tcW w:w="2380" w:type="dxa"/>
            <w:tcBorders>
              <w:top w:val="single" w:sz="4" w:space="0" w:color="auto"/>
              <w:left w:val="single" w:sz="4" w:space="0" w:color="auto"/>
              <w:bottom w:val="single" w:sz="4" w:space="0" w:color="auto"/>
              <w:right w:val="single" w:sz="4" w:space="0" w:color="auto"/>
            </w:tcBorders>
            <w:vAlign w:val="center"/>
          </w:tcPr>
          <w:p w14:paraId="50706D01" w14:textId="77777777" w:rsidR="004D1F5E" w:rsidRDefault="00000000">
            <w:pPr>
              <w:rPr>
                <w:rFonts w:ascii="宋体" w:hAnsi="宋体" w:cs="宋体" w:hint="eastAsia"/>
                <w:sz w:val="18"/>
                <w:szCs w:val="18"/>
              </w:rPr>
            </w:pPr>
            <w:r>
              <w:rPr>
                <w:rFonts w:ascii="宋体" w:hAnsi="宋体" w:cs="宋体" w:hint="eastAsia"/>
              </w:rPr>
              <w:t xml:space="preserve"> </w:t>
            </w:r>
            <w:r>
              <w:rPr>
                <w:rFonts w:ascii="宋体" w:hAnsi="宋体" w:cs="宋体" w:hint="eastAsia"/>
                <w:sz w:val="18"/>
                <w:szCs w:val="18"/>
              </w:rPr>
              <w:t xml:space="preserve"> Proteomic Analysis of Rhesus Macaque Brain Explants Treated With </w:t>
            </w:r>
          </w:p>
          <w:p w14:paraId="13B194E9" w14:textId="77777777" w:rsidR="004D1F5E" w:rsidRDefault="00000000">
            <w:pPr>
              <w:rPr>
                <w:rFonts w:ascii="宋体" w:hAnsi="宋体" w:cs="宋体" w:hint="eastAsia"/>
                <w:sz w:val="18"/>
                <w:szCs w:val="18"/>
              </w:rPr>
            </w:pPr>
            <w:r>
              <w:rPr>
                <w:rFonts w:ascii="宋体" w:hAnsi="宋体" w:cs="宋体" w:hint="eastAsia"/>
                <w:sz w:val="18"/>
                <w:szCs w:val="18"/>
              </w:rPr>
              <w:t xml:space="preserve">    </w:t>
            </w:r>
            <w:r>
              <w:rPr>
                <w:rFonts w:ascii="宋体" w:hAnsi="宋体" w:cs="宋体" w:hint="eastAsia"/>
                <w:i/>
                <w:sz w:val="18"/>
                <w:szCs w:val="18"/>
              </w:rPr>
              <w:t xml:space="preserve">Borrelia burgdorferi </w:t>
            </w:r>
            <w:r>
              <w:rPr>
                <w:rFonts w:ascii="宋体" w:hAnsi="宋体" w:cs="宋体" w:hint="eastAsia"/>
                <w:sz w:val="18"/>
                <w:szCs w:val="18"/>
              </w:rPr>
              <w:t xml:space="preserve">Identifies Host GAP-43 as a Potential Factor Associated </w:t>
            </w:r>
          </w:p>
          <w:p w14:paraId="6076457D" w14:textId="77777777" w:rsidR="004D1F5E" w:rsidRDefault="00000000">
            <w:pPr>
              <w:rPr>
                <w:rFonts w:ascii="宋体" w:hAnsi="宋体" w:cs="宋体" w:hint="eastAsia"/>
              </w:rPr>
            </w:pPr>
            <w:r>
              <w:rPr>
                <w:rFonts w:ascii="宋体" w:hAnsi="宋体" w:cs="宋体" w:hint="eastAsia"/>
                <w:sz w:val="18"/>
                <w:szCs w:val="18"/>
              </w:rPr>
              <w:t xml:space="preserve">    With Lyme </w:t>
            </w:r>
            <w:r>
              <w:rPr>
                <w:rFonts w:ascii="宋体" w:hAnsi="宋体" w:cs="宋体" w:hint="eastAsia"/>
              </w:rPr>
              <w:t>Neuroborreliosis/Front Cell Infect Microbiol/</w:t>
            </w:r>
            <w:r>
              <w:rPr>
                <w:rFonts w:ascii="宋体" w:hAnsi="宋体" w:cs="宋体" w:hint="eastAsia"/>
                <w:sz w:val="18"/>
                <w:szCs w:val="18"/>
              </w:rPr>
              <w:t>Li L, Luo L, Chen T, Cao W, Xu X, Zhang Y, Yue P, Fan Y, Chen J, Liu M, Ma M, Tao L, Peng Y, Dong Y, Li B, Luo S, Kong J, Zhou G, Wen S, Liu A（通讯作者）, Bao F（通讯作者）.</w:t>
            </w:r>
          </w:p>
          <w:p w14:paraId="238CFBD5" w14:textId="77777777" w:rsidR="004D1F5E" w:rsidRDefault="004D1F5E">
            <w:pPr>
              <w:spacing w:line="290" w:lineRule="exact"/>
              <w:rPr>
                <w:rFonts w:ascii="宋体" w:hAnsi="宋体" w:hint="eastAsia"/>
                <w:sz w:val="15"/>
                <w:szCs w:val="15"/>
              </w:rPr>
            </w:pPr>
          </w:p>
        </w:tc>
        <w:tc>
          <w:tcPr>
            <w:tcW w:w="993" w:type="dxa"/>
            <w:tcBorders>
              <w:top w:val="single" w:sz="4" w:space="0" w:color="auto"/>
              <w:left w:val="single" w:sz="4" w:space="0" w:color="auto"/>
              <w:bottom w:val="single" w:sz="4" w:space="0" w:color="auto"/>
              <w:right w:val="single" w:sz="4" w:space="0" w:color="auto"/>
            </w:tcBorders>
            <w:vAlign w:val="center"/>
          </w:tcPr>
          <w:p w14:paraId="5EB38F21" w14:textId="77777777" w:rsidR="004D1F5E" w:rsidRDefault="004D1F5E">
            <w:pPr>
              <w:spacing w:line="290" w:lineRule="exact"/>
              <w:rPr>
                <w:rFonts w:ascii="Times New Roman" w:hAnsi="Times New Roman"/>
                <w:sz w:val="15"/>
                <w:szCs w:val="15"/>
              </w:rPr>
            </w:pPr>
          </w:p>
          <w:p w14:paraId="42627829" w14:textId="77777777" w:rsidR="004D1F5E" w:rsidRDefault="00000000">
            <w:pPr>
              <w:rPr>
                <w:rFonts w:ascii="宋体" w:hAnsi="宋体" w:cs="宋体" w:hint="eastAsia"/>
              </w:rPr>
            </w:pPr>
            <w:r>
              <w:rPr>
                <w:rFonts w:ascii="宋体" w:hAnsi="宋体" w:cs="宋体" w:hint="eastAsia"/>
              </w:rPr>
              <w:t xml:space="preserve">2021 Jun 10;11:647662. </w:t>
            </w:r>
          </w:p>
          <w:p w14:paraId="469539C3" w14:textId="77777777" w:rsidR="004D1F5E" w:rsidRDefault="004D1F5E">
            <w:pPr>
              <w:pStyle w:val="a3"/>
              <w:adjustRightInd w:val="0"/>
              <w:spacing w:after="50" w:line="320" w:lineRule="exact"/>
              <w:ind w:firstLineChars="0" w:firstLine="0"/>
              <w:jc w:val="center"/>
              <w:outlineLvl w:val="1"/>
              <w:rPr>
                <w:rFonts w:ascii="宋体" w:hAnsi="宋体" w:hint="eastAsia"/>
                <w:sz w:val="15"/>
                <w:szCs w:val="15"/>
              </w:rPr>
            </w:pPr>
          </w:p>
        </w:tc>
        <w:tc>
          <w:tcPr>
            <w:tcW w:w="709" w:type="dxa"/>
            <w:tcBorders>
              <w:top w:val="single" w:sz="4" w:space="0" w:color="auto"/>
              <w:left w:val="single" w:sz="4" w:space="0" w:color="auto"/>
              <w:bottom w:val="single" w:sz="4" w:space="0" w:color="auto"/>
              <w:right w:val="single" w:sz="4" w:space="0" w:color="auto"/>
            </w:tcBorders>
            <w:vAlign w:val="center"/>
          </w:tcPr>
          <w:p w14:paraId="0F1A2A4E"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2021年6月</w:t>
            </w:r>
          </w:p>
        </w:tc>
        <w:tc>
          <w:tcPr>
            <w:tcW w:w="850" w:type="dxa"/>
            <w:tcBorders>
              <w:top w:val="single" w:sz="4" w:space="0" w:color="auto"/>
              <w:left w:val="single" w:sz="4" w:space="0" w:color="auto"/>
              <w:bottom w:val="single" w:sz="4" w:space="0" w:color="auto"/>
              <w:right w:val="single" w:sz="4" w:space="0" w:color="auto"/>
            </w:tcBorders>
            <w:vAlign w:val="center"/>
          </w:tcPr>
          <w:p w14:paraId="2A40A8EA" w14:textId="77777777" w:rsidR="004D1F5E" w:rsidRDefault="00000000">
            <w:pPr>
              <w:pStyle w:val="a3"/>
              <w:adjustRightInd w:val="0"/>
              <w:spacing w:after="50" w:line="320" w:lineRule="exact"/>
              <w:ind w:firstLineChars="0" w:firstLine="0"/>
              <w:jc w:val="center"/>
              <w:outlineLvl w:val="1"/>
              <w:rPr>
                <w:rFonts w:ascii="宋体" w:hAnsi="宋体" w:hint="eastAsia"/>
                <w:sz w:val="15"/>
                <w:szCs w:val="15"/>
              </w:rPr>
            </w:pPr>
            <w:r>
              <w:rPr>
                <w:rFonts w:ascii="宋体" w:hAnsi="宋体" w:hint="eastAsia"/>
                <w:sz w:val="15"/>
                <w:szCs w:val="15"/>
              </w:rPr>
              <w:t>李连保</w:t>
            </w:r>
          </w:p>
        </w:tc>
        <w:tc>
          <w:tcPr>
            <w:tcW w:w="825" w:type="dxa"/>
            <w:tcBorders>
              <w:top w:val="single" w:sz="4" w:space="0" w:color="auto"/>
              <w:left w:val="single" w:sz="4" w:space="0" w:color="auto"/>
              <w:bottom w:val="single" w:sz="4" w:space="0" w:color="auto"/>
              <w:right w:val="single" w:sz="4" w:space="0" w:color="auto"/>
            </w:tcBorders>
            <w:vAlign w:val="center"/>
          </w:tcPr>
          <w:p w14:paraId="452C7E7B" w14:textId="77777777" w:rsidR="004D1F5E" w:rsidRDefault="00000000">
            <w:pPr>
              <w:spacing w:line="290" w:lineRule="exact"/>
              <w:rPr>
                <w:rFonts w:ascii="Times New Roman" w:hAnsi="Times New Roman"/>
                <w:sz w:val="15"/>
                <w:szCs w:val="15"/>
              </w:rPr>
            </w:pPr>
            <w:r>
              <w:rPr>
                <w:rFonts w:ascii="Times New Roman" w:hAnsi="Times New Roman" w:hint="eastAsia"/>
                <w:sz w:val="15"/>
                <w:szCs w:val="15"/>
              </w:rPr>
              <w:t>柳爱华、宝福凯</w:t>
            </w:r>
            <w:r>
              <w:rPr>
                <w:rFonts w:ascii="Times New Roman" w:hAnsi="Times New Roman"/>
                <w:sz w:val="15"/>
                <w:szCs w:val="15"/>
              </w:rPr>
              <w:t xml:space="preserve"> </w:t>
            </w:r>
          </w:p>
          <w:p w14:paraId="3B734700" w14:textId="77777777" w:rsidR="004D1F5E" w:rsidRDefault="004D1F5E">
            <w:pPr>
              <w:pStyle w:val="a3"/>
              <w:adjustRightInd w:val="0"/>
              <w:spacing w:after="50" w:line="320" w:lineRule="exact"/>
              <w:ind w:firstLineChars="0" w:firstLine="0"/>
              <w:jc w:val="center"/>
              <w:outlineLvl w:val="1"/>
              <w:rPr>
                <w:rFonts w:ascii="宋体" w:hAnsi="宋体" w:hint="eastAsia"/>
                <w:sz w:val="15"/>
                <w:szCs w:val="15"/>
              </w:rPr>
            </w:pPr>
          </w:p>
        </w:tc>
        <w:tc>
          <w:tcPr>
            <w:tcW w:w="1276" w:type="dxa"/>
            <w:tcBorders>
              <w:top w:val="single" w:sz="4" w:space="0" w:color="auto"/>
              <w:left w:val="single" w:sz="4" w:space="0" w:color="auto"/>
              <w:bottom w:val="single" w:sz="4" w:space="0" w:color="auto"/>
              <w:right w:val="single" w:sz="4" w:space="0" w:color="auto"/>
            </w:tcBorders>
          </w:tcPr>
          <w:p w14:paraId="5BAFE856" w14:textId="77777777" w:rsidR="004D1F5E" w:rsidRDefault="00000000">
            <w:pPr>
              <w:pStyle w:val="a3"/>
              <w:adjustRightInd w:val="0"/>
              <w:spacing w:after="50" w:line="320" w:lineRule="exact"/>
              <w:ind w:firstLineChars="0" w:firstLine="0"/>
              <w:jc w:val="center"/>
              <w:outlineLvl w:val="1"/>
              <w:rPr>
                <w:rFonts w:ascii="Times New Roman"/>
                <w:sz w:val="15"/>
                <w:szCs w:val="15"/>
              </w:rPr>
            </w:pPr>
            <w:r>
              <w:rPr>
                <w:rFonts w:ascii="Times New Roman" w:hint="eastAsia"/>
                <w:sz w:val="15"/>
                <w:szCs w:val="15"/>
              </w:rPr>
              <w:t>李连保、罗丽莎、陈泰桂、徐鑫、张宇、岳彭、范雨鑫、陈晶晶、刘玫肖、麻明彪、陶律延、彭芸、董艳、李冰雪、罗宿医、孔璟、周国忠、文世媛、柳爱华、宝福凯</w:t>
            </w:r>
          </w:p>
          <w:p w14:paraId="338709AC" w14:textId="77777777" w:rsidR="004D1F5E" w:rsidRDefault="004D1F5E">
            <w:pPr>
              <w:pStyle w:val="a3"/>
              <w:adjustRightInd w:val="0"/>
              <w:spacing w:after="50" w:line="320" w:lineRule="exact"/>
              <w:ind w:firstLineChars="0" w:firstLine="0"/>
              <w:jc w:val="center"/>
              <w:outlineLvl w:val="1"/>
              <w:rPr>
                <w:rFonts w:ascii="Times New Roman"/>
                <w:sz w:val="15"/>
                <w:szCs w:val="15"/>
              </w:rPr>
            </w:pPr>
          </w:p>
          <w:p w14:paraId="3B67D0C7" w14:textId="77777777" w:rsidR="004D1F5E" w:rsidRDefault="004D1F5E">
            <w:pPr>
              <w:pStyle w:val="a3"/>
              <w:adjustRightInd w:val="0"/>
              <w:spacing w:after="50" w:line="320" w:lineRule="exact"/>
              <w:ind w:firstLineChars="0" w:firstLine="0"/>
              <w:jc w:val="center"/>
              <w:outlineLvl w:val="1"/>
              <w:rPr>
                <w:rFonts w:ascii="Times New Roman"/>
                <w:sz w:val="15"/>
                <w:szCs w:val="15"/>
              </w:rPr>
            </w:pPr>
          </w:p>
          <w:p w14:paraId="577FD13C" w14:textId="77777777" w:rsidR="004D1F5E" w:rsidRDefault="004D1F5E">
            <w:pPr>
              <w:pStyle w:val="a3"/>
              <w:adjustRightInd w:val="0"/>
              <w:spacing w:after="50" w:line="320" w:lineRule="exact"/>
              <w:ind w:firstLineChars="0" w:firstLine="0"/>
              <w:jc w:val="center"/>
              <w:outlineLvl w:val="1"/>
              <w:rPr>
                <w:rFonts w:ascii="Times New Roman"/>
                <w:sz w:val="15"/>
                <w:szCs w:val="15"/>
              </w:rPr>
            </w:pPr>
          </w:p>
          <w:p w14:paraId="64D9EE2C" w14:textId="77777777" w:rsidR="004D1F5E" w:rsidRDefault="004D1F5E">
            <w:pPr>
              <w:pStyle w:val="a3"/>
              <w:adjustRightInd w:val="0"/>
              <w:spacing w:after="50" w:line="320" w:lineRule="exact"/>
              <w:ind w:firstLineChars="0" w:firstLine="0"/>
              <w:jc w:val="center"/>
              <w:outlineLvl w:val="1"/>
              <w:rPr>
                <w:rFonts w:ascii="宋体" w:hAnsi="宋体" w:hint="eastAsia"/>
                <w:sz w:val="15"/>
                <w:szCs w:val="15"/>
              </w:rPr>
            </w:pPr>
          </w:p>
        </w:tc>
      </w:tr>
    </w:tbl>
    <w:p w14:paraId="28539D5A" w14:textId="77777777" w:rsidR="004D1F5E" w:rsidRDefault="004D1F5E">
      <w:pPr>
        <w:spacing w:line="560" w:lineRule="exact"/>
        <w:rPr>
          <w:rStyle w:val="fontstyle01"/>
          <w:rFonts w:ascii="Times New Roman" w:hAnsi="Times New Roman" w:hint="default"/>
          <w:b/>
        </w:rPr>
      </w:pPr>
    </w:p>
    <w:p w14:paraId="68ABA60A" w14:textId="77777777" w:rsidR="004D1F5E" w:rsidRDefault="00000000">
      <w:pPr>
        <w:spacing w:line="360" w:lineRule="auto"/>
        <w:rPr>
          <w:rStyle w:val="fontstyle01"/>
          <w:rFonts w:ascii="Times New Roman" w:hAnsi="Times New Roman" w:hint="default"/>
          <w:b/>
          <w:sz w:val="30"/>
          <w:szCs w:val="30"/>
        </w:rPr>
      </w:pPr>
      <w:r>
        <w:rPr>
          <w:rStyle w:val="fontstyle01"/>
          <w:rFonts w:ascii="Times New Roman" w:hAnsi="Times New Roman" w:hint="default"/>
          <w:b/>
        </w:rPr>
        <w:lastRenderedPageBreak/>
        <w:t>主要完成人基本情况：</w:t>
      </w: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49"/>
        <w:gridCol w:w="2448"/>
        <w:gridCol w:w="2257"/>
        <w:gridCol w:w="1095"/>
        <w:gridCol w:w="1136"/>
      </w:tblGrid>
      <w:tr w:rsidR="004D1F5E" w14:paraId="6B4F1549" w14:textId="77777777">
        <w:trPr>
          <w:trHeight w:val="567"/>
          <w:jc w:val="center"/>
        </w:trPr>
        <w:tc>
          <w:tcPr>
            <w:tcW w:w="371" w:type="pct"/>
            <w:tcBorders>
              <w:top w:val="single" w:sz="4" w:space="0" w:color="auto"/>
              <w:left w:val="single" w:sz="4" w:space="0" w:color="auto"/>
              <w:bottom w:val="single" w:sz="4" w:space="0" w:color="auto"/>
              <w:right w:val="single" w:sz="4" w:space="0" w:color="auto"/>
            </w:tcBorders>
            <w:vAlign w:val="center"/>
          </w:tcPr>
          <w:p w14:paraId="12DB0A37" w14:textId="77777777" w:rsidR="004D1F5E" w:rsidRDefault="00000000">
            <w:pPr>
              <w:spacing w:line="360" w:lineRule="auto"/>
              <w:jc w:val="center"/>
              <w:rPr>
                <w:rFonts w:ascii="Times New Roman" w:eastAsiaTheme="minorEastAsia" w:hAnsi="Times New Roman"/>
                <w:b/>
                <w:kern w:val="0"/>
                <w:szCs w:val="21"/>
              </w:rPr>
            </w:pPr>
            <w:r>
              <w:rPr>
                <w:rFonts w:ascii="Times New Roman" w:eastAsiaTheme="minorEastAsia" w:hAnsi="Times New Roman" w:hint="eastAsia"/>
                <w:b/>
                <w:kern w:val="0"/>
                <w:szCs w:val="21"/>
              </w:rPr>
              <w:t>序号</w:t>
            </w:r>
          </w:p>
        </w:tc>
        <w:tc>
          <w:tcPr>
            <w:tcW w:w="557" w:type="pct"/>
            <w:tcBorders>
              <w:top w:val="single" w:sz="4" w:space="0" w:color="auto"/>
              <w:left w:val="single" w:sz="4" w:space="0" w:color="auto"/>
              <w:bottom w:val="single" w:sz="4" w:space="0" w:color="auto"/>
              <w:right w:val="single" w:sz="4" w:space="0" w:color="auto"/>
            </w:tcBorders>
            <w:vAlign w:val="center"/>
          </w:tcPr>
          <w:p w14:paraId="5F32BF3F" w14:textId="77777777" w:rsidR="004D1F5E" w:rsidRDefault="00000000">
            <w:pPr>
              <w:spacing w:line="360" w:lineRule="auto"/>
              <w:jc w:val="center"/>
              <w:rPr>
                <w:rFonts w:ascii="Times New Roman" w:eastAsiaTheme="minorEastAsia" w:hAnsi="Times New Roman"/>
                <w:b/>
                <w:kern w:val="0"/>
                <w:szCs w:val="21"/>
              </w:rPr>
            </w:pPr>
            <w:r>
              <w:rPr>
                <w:rFonts w:ascii="Times New Roman" w:eastAsiaTheme="minorEastAsia" w:hAnsi="Times New Roman" w:hint="eastAsia"/>
                <w:b/>
                <w:kern w:val="0"/>
                <w:szCs w:val="21"/>
              </w:rPr>
              <w:t>姓名</w:t>
            </w:r>
          </w:p>
        </w:tc>
        <w:tc>
          <w:tcPr>
            <w:tcW w:w="1437" w:type="pct"/>
            <w:tcBorders>
              <w:top w:val="single" w:sz="4" w:space="0" w:color="auto"/>
              <w:left w:val="single" w:sz="4" w:space="0" w:color="auto"/>
              <w:bottom w:val="single" w:sz="4" w:space="0" w:color="auto"/>
              <w:right w:val="single" w:sz="4" w:space="0" w:color="auto"/>
            </w:tcBorders>
            <w:vAlign w:val="center"/>
          </w:tcPr>
          <w:p w14:paraId="55243534" w14:textId="77777777" w:rsidR="004D1F5E" w:rsidRDefault="00000000">
            <w:pPr>
              <w:spacing w:line="360" w:lineRule="auto"/>
              <w:jc w:val="center"/>
              <w:rPr>
                <w:rFonts w:ascii="Times New Roman" w:eastAsiaTheme="minorEastAsia" w:hAnsi="Times New Roman"/>
                <w:b/>
                <w:kern w:val="0"/>
                <w:szCs w:val="21"/>
              </w:rPr>
            </w:pPr>
            <w:r>
              <w:rPr>
                <w:rFonts w:ascii="Times New Roman" w:eastAsiaTheme="minorEastAsia" w:hAnsi="Times New Roman" w:hint="eastAsia"/>
                <w:b/>
                <w:kern w:val="0"/>
                <w:szCs w:val="21"/>
              </w:rPr>
              <w:t>工作单位</w:t>
            </w:r>
          </w:p>
        </w:tc>
        <w:tc>
          <w:tcPr>
            <w:tcW w:w="1325" w:type="pct"/>
            <w:tcBorders>
              <w:top w:val="single" w:sz="4" w:space="0" w:color="auto"/>
              <w:left w:val="single" w:sz="4" w:space="0" w:color="auto"/>
              <w:bottom w:val="single" w:sz="4" w:space="0" w:color="auto"/>
              <w:right w:val="single" w:sz="4" w:space="0" w:color="auto"/>
            </w:tcBorders>
            <w:vAlign w:val="center"/>
          </w:tcPr>
          <w:p w14:paraId="3D365CEF" w14:textId="77777777" w:rsidR="004D1F5E" w:rsidRDefault="00000000">
            <w:pPr>
              <w:spacing w:line="360" w:lineRule="auto"/>
              <w:jc w:val="center"/>
              <w:rPr>
                <w:rFonts w:ascii="Times New Roman" w:eastAsiaTheme="minorEastAsia" w:hAnsi="Times New Roman"/>
                <w:b/>
                <w:kern w:val="0"/>
                <w:szCs w:val="21"/>
              </w:rPr>
            </w:pPr>
            <w:r>
              <w:rPr>
                <w:rFonts w:ascii="Times New Roman" w:eastAsiaTheme="minorEastAsia" w:hAnsi="Times New Roman" w:hint="eastAsia"/>
                <w:b/>
                <w:kern w:val="0"/>
                <w:szCs w:val="21"/>
              </w:rPr>
              <w:t>完成单位</w:t>
            </w:r>
          </w:p>
        </w:tc>
        <w:tc>
          <w:tcPr>
            <w:tcW w:w="643" w:type="pct"/>
            <w:tcBorders>
              <w:top w:val="single" w:sz="4" w:space="0" w:color="auto"/>
              <w:left w:val="single" w:sz="4" w:space="0" w:color="auto"/>
              <w:bottom w:val="single" w:sz="4" w:space="0" w:color="auto"/>
              <w:right w:val="single" w:sz="4" w:space="0" w:color="auto"/>
            </w:tcBorders>
            <w:vAlign w:val="center"/>
          </w:tcPr>
          <w:p w14:paraId="754B68AD" w14:textId="77777777" w:rsidR="004D1F5E" w:rsidRDefault="00000000">
            <w:pPr>
              <w:spacing w:line="360" w:lineRule="auto"/>
              <w:jc w:val="center"/>
              <w:rPr>
                <w:rFonts w:ascii="Times New Roman" w:eastAsiaTheme="minorEastAsia" w:hAnsi="Times New Roman"/>
                <w:b/>
                <w:kern w:val="0"/>
                <w:szCs w:val="21"/>
              </w:rPr>
            </w:pPr>
            <w:r>
              <w:rPr>
                <w:rFonts w:ascii="Times New Roman" w:eastAsiaTheme="minorEastAsia" w:hAnsi="Times New Roman" w:hint="eastAsia"/>
                <w:b/>
                <w:kern w:val="0"/>
                <w:szCs w:val="21"/>
              </w:rPr>
              <w:t>职称</w:t>
            </w:r>
          </w:p>
        </w:tc>
        <w:tc>
          <w:tcPr>
            <w:tcW w:w="667" w:type="pct"/>
            <w:tcBorders>
              <w:top w:val="single" w:sz="4" w:space="0" w:color="auto"/>
              <w:left w:val="single" w:sz="4" w:space="0" w:color="auto"/>
              <w:bottom w:val="single" w:sz="4" w:space="0" w:color="auto"/>
              <w:right w:val="single" w:sz="4" w:space="0" w:color="auto"/>
            </w:tcBorders>
            <w:vAlign w:val="center"/>
          </w:tcPr>
          <w:p w14:paraId="2EBC5A04" w14:textId="77777777" w:rsidR="004D1F5E" w:rsidRDefault="00000000">
            <w:pPr>
              <w:spacing w:line="360" w:lineRule="auto"/>
              <w:jc w:val="center"/>
              <w:rPr>
                <w:rFonts w:ascii="Times New Roman" w:eastAsiaTheme="minorEastAsia" w:hAnsi="Times New Roman"/>
                <w:b/>
                <w:kern w:val="0"/>
                <w:szCs w:val="21"/>
              </w:rPr>
            </w:pPr>
            <w:r>
              <w:rPr>
                <w:rFonts w:ascii="Times New Roman" w:eastAsiaTheme="minorEastAsia" w:hAnsi="Times New Roman" w:hint="eastAsia"/>
                <w:b/>
                <w:kern w:val="0"/>
                <w:szCs w:val="21"/>
              </w:rPr>
              <w:t>职务</w:t>
            </w:r>
          </w:p>
        </w:tc>
      </w:tr>
      <w:tr w:rsidR="004D1F5E" w14:paraId="3F70087B" w14:textId="77777777">
        <w:trPr>
          <w:trHeight w:val="567"/>
          <w:jc w:val="center"/>
        </w:trPr>
        <w:tc>
          <w:tcPr>
            <w:tcW w:w="371" w:type="pct"/>
            <w:tcBorders>
              <w:top w:val="single" w:sz="4" w:space="0" w:color="auto"/>
              <w:left w:val="single" w:sz="4" w:space="0" w:color="auto"/>
              <w:bottom w:val="single" w:sz="4" w:space="0" w:color="auto"/>
              <w:right w:val="single" w:sz="4" w:space="0" w:color="auto"/>
            </w:tcBorders>
            <w:vAlign w:val="center"/>
          </w:tcPr>
          <w:p w14:paraId="6D6496F3"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w:t>
            </w:r>
          </w:p>
        </w:tc>
        <w:tc>
          <w:tcPr>
            <w:tcW w:w="557" w:type="pct"/>
            <w:tcBorders>
              <w:top w:val="single" w:sz="4" w:space="0" w:color="auto"/>
              <w:left w:val="single" w:sz="4" w:space="0" w:color="auto"/>
              <w:bottom w:val="single" w:sz="4" w:space="0" w:color="auto"/>
              <w:right w:val="single" w:sz="4" w:space="0" w:color="auto"/>
            </w:tcBorders>
            <w:vAlign w:val="center"/>
          </w:tcPr>
          <w:p w14:paraId="055E71B9"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宝福凯</w:t>
            </w:r>
          </w:p>
        </w:tc>
        <w:tc>
          <w:tcPr>
            <w:tcW w:w="1437" w:type="pct"/>
            <w:tcBorders>
              <w:top w:val="single" w:sz="4" w:space="0" w:color="auto"/>
              <w:left w:val="single" w:sz="4" w:space="0" w:color="auto"/>
              <w:bottom w:val="single" w:sz="4" w:space="0" w:color="auto"/>
              <w:right w:val="single" w:sz="4" w:space="0" w:color="auto"/>
            </w:tcBorders>
            <w:vAlign w:val="center"/>
          </w:tcPr>
          <w:p w14:paraId="4A01EF61"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昆明医科大学</w:t>
            </w:r>
          </w:p>
        </w:tc>
        <w:tc>
          <w:tcPr>
            <w:tcW w:w="1325" w:type="pct"/>
            <w:tcBorders>
              <w:top w:val="single" w:sz="4" w:space="0" w:color="auto"/>
              <w:left w:val="single" w:sz="4" w:space="0" w:color="auto"/>
              <w:bottom w:val="single" w:sz="4" w:space="0" w:color="auto"/>
              <w:right w:val="single" w:sz="4" w:space="0" w:color="auto"/>
            </w:tcBorders>
            <w:vAlign w:val="center"/>
          </w:tcPr>
          <w:p w14:paraId="56473054"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昆明医科大学</w:t>
            </w:r>
          </w:p>
        </w:tc>
        <w:tc>
          <w:tcPr>
            <w:tcW w:w="643" w:type="pct"/>
            <w:tcBorders>
              <w:top w:val="single" w:sz="4" w:space="0" w:color="auto"/>
              <w:left w:val="single" w:sz="4" w:space="0" w:color="auto"/>
              <w:bottom w:val="single" w:sz="4" w:space="0" w:color="auto"/>
              <w:right w:val="single" w:sz="4" w:space="0" w:color="auto"/>
            </w:tcBorders>
            <w:vAlign w:val="center"/>
          </w:tcPr>
          <w:p w14:paraId="390E879A"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教授</w:t>
            </w:r>
          </w:p>
        </w:tc>
        <w:tc>
          <w:tcPr>
            <w:tcW w:w="667" w:type="pct"/>
            <w:tcBorders>
              <w:top w:val="single" w:sz="4" w:space="0" w:color="auto"/>
              <w:left w:val="single" w:sz="4" w:space="0" w:color="auto"/>
              <w:bottom w:val="single" w:sz="4" w:space="0" w:color="auto"/>
              <w:right w:val="single" w:sz="4" w:space="0" w:color="auto"/>
            </w:tcBorders>
            <w:vAlign w:val="center"/>
          </w:tcPr>
          <w:p w14:paraId="7F78987E" w14:textId="77777777" w:rsidR="004D1F5E" w:rsidRDefault="004D1F5E">
            <w:pPr>
              <w:jc w:val="center"/>
              <w:rPr>
                <w:rFonts w:ascii="Times New Roman" w:eastAsiaTheme="minorEastAsia" w:hAnsi="Times New Roman"/>
                <w:color w:val="000000"/>
                <w:kern w:val="0"/>
                <w:szCs w:val="21"/>
              </w:rPr>
            </w:pPr>
          </w:p>
        </w:tc>
      </w:tr>
      <w:tr w:rsidR="004D1F5E" w14:paraId="354AD5DA" w14:textId="77777777">
        <w:trPr>
          <w:trHeight w:val="567"/>
          <w:jc w:val="center"/>
        </w:trPr>
        <w:tc>
          <w:tcPr>
            <w:tcW w:w="371" w:type="pct"/>
            <w:tcBorders>
              <w:top w:val="single" w:sz="4" w:space="0" w:color="auto"/>
              <w:left w:val="single" w:sz="4" w:space="0" w:color="auto"/>
              <w:bottom w:val="single" w:sz="4" w:space="0" w:color="auto"/>
              <w:right w:val="single" w:sz="4" w:space="0" w:color="auto"/>
            </w:tcBorders>
            <w:vAlign w:val="center"/>
          </w:tcPr>
          <w:p w14:paraId="14B54660"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w:t>
            </w:r>
          </w:p>
        </w:tc>
        <w:tc>
          <w:tcPr>
            <w:tcW w:w="557" w:type="pct"/>
            <w:tcBorders>
              <w:top w:val="single" w:sz="4" w:space="0" w:color="auto"/>
              <w:left w:val="single" w:sz="4" w:space="0" w:color="auto"/>
              <w:bottom w:val="single" w:sz="4" w:space="0" w:color="auto"/>
              <w:right w:val="single" w:sz="4" w:space="0" w:color="auto"/>
            </w:tcBorders>
            <w:vAlign w:val="center"/>
          </w:tcPr>
          <w:p w14:paraId="4764981E"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柳爱华</w:t>
            </w:r>
          </w:p>
        </w:tc>
        <w:tc>
          <w:tcPr>
            <w:tcW w:w="1437" w:type="pct"/>
            <w:tcBorders>
              <w:top w:val="single" w:sz="4" w:space="0" w:color="auto"/>
              <w:left w:val="single" w:sz="4" w:space="0" w:color="auto"/>
              <w:bottom w:val="single" w:sz="4" w:space="0" w:color="auto"/>
              <w:right w:val="single" w:sz="4" w:space="0" w:color="auto"/>
            </w:tcBorders>
            <w:vAlign w:val="center"/>
          </w:tcPr>
          <w:p w14:paraId="5A949167"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昆明医科大学</w:t>
            </w:r>
          </w:p>
        </w:tc>
        <w:tc>
          <w:tcPr>
            <w:tcW w:w="1325" w:type="pct"/>
            <w:tcBorders>
              <w:top w:val="single" w:sz="4" w:space="0" w:color="auto"/>
              <w:left w:val="single" w:sz="4" w:space="0" w:color="auto"/>
              <w:bottom w:val="single" w:sz="4" w:space="0" w:color="auto"/>
              <w:right w:val="single" w:sz="4" w:space="0" w:color="auto"/>
            </w:tcBorders>
            <w:vAlign w:val="center"/>
          </w:tcPr>
          <w:p w14:paraId="4C4288BA"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昆明医科大学</w:t>
            </w:r>
          </w:p>
        </w:tc>
        <w:tc>
          <w:tcPr>
            <w:tcW w:w="643" w:type="pct"/>
            <w:tcBorders>
              <w:top w:val="single" w:sz="4" w:space="0" w:color="auto"/>
              <w:left w:val="single" w:sz="4" w:space="0" w:color="auto"/>
              <w:bottom w:val="single" w:sz="4" w:space="0" w:color="auto"/>
              <w:right w:val="single" w:sz="4" w:space="0" w:color="auto"/>
            </w:tcBorders>
            <w:vAlign w:val="center"/>
          </w:tcPr>
          <w:p w14:paraId="1BCE8356" w14:textId="77777777" w:rsidR="004D1F5E" w:rsidRDefault="00000000">
            <w:pPr>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教授</w:t>
            </w:r>
          </w:p>
        </w:tc>
        <w:tc>
          <w:tcPr>
            <w:tcW w:w="667" w:type="pct"/>
            <w:tcBorders>
              <w:top w:val="single" w:sz="4" w:space="0" w:color="auto"/>
              <w:left w:val="single" w:sz="4" w:space="0" w:color="auto"/>
              <w:bottom w:val="single" w:sz="4" w:space="0" w:color="auto"/>
              <w:right w:val="single" w:sz="4" w:space="0" w:color="auto"/>
            </w:tcBorders>
            <w:vAlign w:val="center"/>
          </w:tcPr>
          <w:p w14:paraId="299762C5" w14:textId="77777777" w:rsidR="004D1F5E" w:rsidRDefault="004D1F5E">
            <w:pPr>
              <w:jc w:val="center"/>
              <w:rPr>
                <w:rFonts w:ascii="Times New Roman" w:eastAsiaTheme="minorEastAsia" w:hAnsi="Times New Roman"/>
                <w:color w:val="000000"/>
                <w:kern w:val="0"/>
                <w:szCs w:val="21"/>
              </w:rPr>
            </w:pPr>
          </w:p>
        </w:tc>
      </w:tr>
    </w:tbl>
    <w:p w14:paraId="37F512ED" w14:textId="77777777" w:rsidR="004D1F5E" w:rsidRDefault="004D1F5E"/>
    <w:sectPr w:rsidR="004D1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ndalus">
    <w:altName w:val="Times New Roman"/>
    <w:charset w:val="00"/>
    <w:family w:val="roman"/>
    <w:pitch w:val="default"/>
    <w:sig w:usb0="00000000" w:usb1="00000000" w:usb2="00000008" w:usb3="00000000" w:csb0="0000004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DD"/>
    <w:rsid w:val="000340ED"/>
    <w:rsid w:val="00066BA4"/>
    <w:rsid w:val="000C13DD"/>
    <w:rsid w:val="001834C8"/>
    <w:rsid w:val="001B55AD"/>
    <w:rsid w:val="001D185F"/>
    <w:rsid w:val="00212F1D"/>
    <w:rsid w:val="002C1567"/>
    <w:rsid w:val="00455F76"/>
    <w:rsid w:val="004D1F5E"/>
    <w:rsid w:val="004E74A9"/>
    <w:rsid w:val="005C453C"/>
    <w:rsid w:val="00621361"/>
    <w:rsid w:val="007A32BF"/>
    <w:rsid w:val="007B1B3B"/>
    <w:rsid w:val="00802A82"/>
    <w:rsid w:val="008440C5"/>
    <w:rsid w:val="008C3AEF"/>
    <w:rsid w:val="00986247"/>
    <w:rsid w:val="009C770C"/>
    <w:rsid w:val="00AC3ACF"/>
    <w:rsid w:val="00B1378F"/>
    <w:rsid w:val="00BC55AA"/>
    <w:rsid w:val="00C318C2"/>
    <w:rsid w:val="00C63842"/>
    <w:rsid w:val="00C86BB0"/>
    <w:rsid w:val="00F506A8"/>
    <w:rsid w:val="00F52CAA"/>
    <w:rsid w:val="06287461"/>
    <w:rsid w:val="0C50326D"/>
    <w:rsid w:val="170F5A53"/>
    <w:rsid w:val="17BC0002"/>
    <w:rsid w:val="19D21AA0"/>
    <w:rsid w:val="355E0528"/>
    <w:rsid w:val="43E52018"/>
    <w:rsid w:val="57AA72A2"/>
    <w:rsid w:val="67155903"/>
    <w:rsid w:val="6B1765A5"/>
    <w:rsid w:val="72655B6D"/>
    <w:rsid w:val="7C5F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E1764-2FE9-4C4A-A9D4-AA140D8A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pPr>
      <w:spacing w:line="360" w:lineRule="auto"/>
      <w:ind w:firstLineChars="200" w:firstLine="480"/>
    </w:pPr>
    <w:rPr>
      <w:rFonts w:ascii="仿宋_GB2312" w:hAnsi="Times New Roman"/>
      <w:sz w:val="24"/>
    </w:rPr>
  </w:style>
  <w:style w:type="paragraph" w:styleId="a5">
    <w:name w:val="footer"/>
    <w:basedOn w:val="a"/>
    <w:link w:val="a6"/>
    <w:uiPriority w:val="99"/>
    <w:semiHidden/>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qFormat/>
    <w:rPr>
      <w:color w:val="666666"/>
      <w:u w:val="non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纯文本 字符"/>
    <w:basedOn w:val="a0"/>
    <w:link w:val="a3"/>
    <w:qFormat/>
    <w:rPr>
      <w:rFonts w:ascii="仿宋_GB2312" w:eastAsia="宋体" w:hAnsi="Times New Roman" w:cs="Times New Roman"/>
      <w:sz w:val="24"/>
      <w:szCs w:val="24"/>
    </w:rPr>
  </w:style>
  <w:style w:type="character" w:customStyle="1" w:styleId="fontstyle01">
    <w:name w:val="fontstyle01"/>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23453;&#31119;&#20975;&#26368;&#26032;&#20010;&#20154;&#20449;&#24687;&#26448;&#26009;2016\&#25105;&#30340;&#20013;&#25991;&#31616;&#21382;&#19982;&#22242;&#38431;&#20171;&#32461;\javascript:ShowAffiliation('11','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2464374046@qq.com</cp:lastModifiedBy>
  <cp:revision>2</cp:revision>
  <dcterms:created xsi:type="dcterms:W3CDTF">2025-04-22T06:29:00Z</dcterms:created>
  <dcterms:modified xsi:type="dcterms:W3CDTF">2025-04-22T06:29:00Z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07ECD2381BCB4B7BADFF23563E0EC0C3_13</vt:lpwstr>
  </property>
  <property fmtid="{D5CDD505-2E9C-101B-9397-08002B2CF9AE}" pid="4" name="KSOTemplateDocerSaveRecord">
    <vt:lpwstr>eyJoZGlkIjoiOWM5NGEyNDRiYjk5YjU0YmRhOGE1ZTE4MTc3ZDcxN2EiLCJ1c2VySWQiOiI0MzQzNDg4NzkifQ==</vt:lpwstr>
  </property>
</Properties>
</file>